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EC" w:rsidRDefault="004771EC"/>
    <w:p w:rsidR="00846D71" w:rsidRPr="007B062C" w:rsidRDefault="00846D71" w:rsidP="00846D71">
      <w:pPr>
        <w:jc w:val="right"/>
        <w:rPr>
          <w:sz w:val="20"/>
          <w:szCs w:val="20"/>
        </w:rPr>
      </w:pPr>
      <w:r w:rsidRPr="007B062C">
        <w:rPr>
          <w:sz w:val="20"/>
          <w:szCs w:val="20"/>
        </w:rPr>
        <w:t>8 August 2006</w:t>
      </w:r>
    </w:p>
    <w:p w:rsidR="00846D71" w:rsidRPr="007B062C" w:rsidRDefault="00846D71" w:rsidP="00846D71">
      <w:pPr>
        <w:pStyle w:val="Heading1"/>
        <w:tabs>
          <w:tab w:val="clear" w:pos="1843"/>
          <w:tab w:val="left" w:pos="0"/>
        </w:tabs>
        <w:ind w:left="0" w:firstLine="0"/>
        <w:jc w:val="center"/>
      </w:pPr>
      <w:bookmarkStart w:id="0" w:name="_Toc77400137"/>
    </w:p>
    <w:p w:rsidR="00846D71" w:rsidRPr="007B062C" w:rsidRDefault="00846D71" w:rsidP="00846D71">
      <w:pPr>
        <w:pStyle w:val="Heading1"/>
        <w:tabs>
          <w:tab w:val="clear" w:pos="1843"/>
          <w:tab w:val="left" w:pos="0"/>
        </w:tabs>
        <w:ind w:left="0" w:firstLine="0"/>
        <w:jc w:val="center"/>
      </w:pPr>
      <w:proofErr w:type="gramStart"/>
      <w:r w:rsidRPr="007B062C">
        <w:t xml:space="preserve">technical SUMMARY OF the risk assessment </w:t>
      </w:r>
      <w:r w:rsidRPr="007B062C">
        <w:br/>
        <w:t>and risk maNagement plan</w:t>
      </w:r>
      <w:r w:rsidRPr="007B062C">
        <w:br/>
      </w:r>
      <w:r w:rsidRPr="007B062C">
        <w:rPr>
          <w:b w:val="0"/>
          <w:bCs w:val="0"/>
          <w:caps w:val="0"/>
          <w:sz w:val="24"/>
          <w:szCs w:val="24"/>
        </w:rPr>
        <w:t>for</w:t>
      </w:r>
      <w:r w:rsidRPr="007B062C">
        <w:rPr>
          <w:caps w:val="0"/>
        </w:rPr>
        <w:t xml:space="preserve"> </w:t>
      </w:r>
      <w:r w:rsidRPr="007B062C">
        <w:br/>
        <w:t>application no.</w:t>
      </w:r>
      <w:proofErr w:type="gramEnd"/>
      <w:r w:rsidRPr="007B062C">
        <w:t xml:space="preserve"> dir 062/2005</w:t>
      </w:r>
      <w:r w:rsidRPr="007B062C">
        <w:br/>
      </w:r>
      <w:r w:rsidRPr="007B062C">
        <w:rPr>
          <w:b w:val="0"/>
          <w:bCs w:val="0"/>
          <w:caps w:val="0"/>
          <w:sz w:val="24"/>
          <w:szCs w:val="24"/>
        </w:rPr>
        <w:t>from</w:t>
      </w:r>
      <w:r w:rsidRPr="007B062C">
        <w:t xml:space="preserve"> </w:t>
      </w:r>
      <w:r w:rsidRPr="007B062C">
        <w:br/>
        <w:t>BAYER CROPSCIENCE PTY ltd</w:t>
      </w:r>
    </w:p>
    <w:p w:rsidR="00846D71" w:rsidRPr="007B062C" w:rsidRDefault="00846D71" w:rsidP="00846D71">
      <w:pPr>
        <w:pStyle w:val="Heading2"/>
        <w:tabs>
          <w:tab w:val="left" w:pos="1701"/>
        </w:tabs>
      </w:pPr>
      <w:bookmarkStart w:id="1" w:name="_Toc112063944"/>
      <w:bookmarkStart w:id="2" w:name="_Toc121209895"/>
      <w:bookmarkStart w:id="3" w:name="_Toc135718530"/>
      <w:bookmarkStart w:id="4" w:name="_Toc136159904"/>
      <w:bookmarkStart w:id="5" w:name="_Toc136343730"/>
      <w:bookmarkStart w:id="6" w:name="_Toc136402044"/>
      <w:bookmarkStart w:id="7" w:name="_Toc112063947"/>
      <w:r w:rsidRPr="007B062C">
        <w:t>Introduction</w:t>
      </w:r>
      <w:bookmarkEnd w:id="0"/>
      <w:bookmarkEnd w:id="1"/>
      <w:bookmarkEnd w:id="2"/>
      <w:bookmarkEnd w:id="3"/>
      <w:bookmarkEnd w:id="4"/>
      <w:bookmarkEnd w:id="5"/>
      <w:bookmarkEnd w:id="6"/>
      <w:bookmarkEnd w:id="7"/>
    </w:p>
    <w:p w:rsidR="00846D71" w:rsidRPr="007B062C" w:rsidRDefault="00846D71" w:rsidP="00846D71">
      <w:pPr>
        <w:pStyle w:val="PARA"/>
        <w:numPr>
          <w:ilvl w:val="0"/>
          <w:numId w:val="0"/>
        </w:numPr>
      </w:pPr>
      <w:r w:rsidRPr="007B062C">
        <w:t xml:space="preserve">The Gene Technology Regulator (the Regulator) has decided to issue a licence (DIR 062/2005) to Bayer </w:t>
      </w:r>
      <w:proofErr w:type="spellStart"/>
      <w:r w:rsidRPr="007B062C">
        <w:t>CropScience</w:t>
      </w:r>
      <w:proofErr w:type="spellEnd"/>
      <w:r w:rsidRPr="007B062C">
        <w:t xml:space="preserve"> Pty Ltd (Bayer) for dealings involving the intentional, commercial scale release of herbicide tolerant genetically modified (GM) cotton into the Australian environment. </w:t>
      </w:r>
    </w:p>
    <w:p w:rsidR="00846D71" w:rsidRPr="007B062C" w:rsidRDefault="00846D71" w:rsidP="00846D71">
      <w:pPr>
        <w:pStyle w:val="BlockTextPlain"/>
        <w:rPr>
          <w:rFonts w:ascii="Times New (W1)" w:hAnsi="Times New (W1)" w:cs="Times New (W1)"/>
        </w:rPr>
      </w:pPr>
      <w:bookmarkStart w:id="8" w:name="_Toc94337965"/>
      <w:bookmarkStart w:id="9" w:name="_Toc97019187"/>
      <w:bookmarkStart w:id="10" w:name="_Toc112063945"/>
      <w:r w:rsidRPr="007B062C">
        <w:rPr>
          <w:rFonts w:ascii="Times New (W1)" w:hAnsi="Times New (W1)" w:cs="Times New (W1)"/>
        </w:rPr>
        <w:t xml:space="preserve">The </w:t>
      </w:r>
      <w:proofErr w:type="gramStart"/>
      <w:r w:rsidRPr="007B062C">
        <w:rPr>
          <w:rFonts w:ascii="Times New (W1)" w:hAnsi="Times New (W1)" w:cs="Times New (W1)"/>
        </w:rPr>
        <w:t>DIR 062/2005</w:t>
      </w:r>
      <w:proofErr w:type="gramEnd"/>
      <w:r w:rsidRPr="007B062C">
        <w:rPr>
          <w:rFonts w:ascii="Times New (W1)" w:hAnsi="Times New (W1)" w:cs="Times New (W1)"/>
        </w:rPr>
        <w:t xml:space="preserve"> licence permits the </w:t>
      </w:r>
      <w:r w:rsidRPr="007B062C">
        <w:t xml:space="preserve">commercial release of the GM cotton on an unrestricted basis in all areas of Australia. It should be noted that cultivation of this GMO </w:t>
      </w:r>
      <w:proofErr w:type="gramStart"/>
      <w:r w:rsidRPr="007B062C">
        <w:t>may</w:t>
      </w:r>
      <w:proofErr w:type="gramEnd"/>
      <w:r w:rsidRPr="007B062C">
        <w:t xml:space="preserve"> require additional approvals under State or Territory legislation that restrict the commercial release of GM crops on marketing grounds.</w:t>
      </w:r>
    </w:p>
    <w:p w:rsidR="00846D71" w:rsidRPr="007B062C" w:rsidRDefault="00846D71" w:rsidP="00846D71">
      <w:pPr>
        <w:pStyle w:val="PARA"/>
        <w:numPr>
          <w:ilvl w:val="0"/>
          <w:numId w:val="0"/>
        </w:numPr>
      </w:pPr>
      <w:r w:rsidRPr="007B062C">
        <w:t xml:space="preserve">The </w:t>
      </w:r>
      <w:r w:rsidRPr="007B062C">
        <w:rPr>
          <w:i/>
          <w:iCs/>
        </w:rPr>
        <w:t xml:space="preserve">Gene Technology Act 2000 </w:t>
      </w:r>
      <w:r w:rsidRPr="007B062C">
        <w:t>(the Act), the Gene Technology Regulations 2001 (the Regulations) and corresponding state and territory law govern the comprehensive and highly consultative process undertaken by the Regulator before making a decision whether or not to issue a licence to deal with a GMO.</w:t>
      </w:r>
    </w:p>
    <w:p w:rsidR="00846D71" w:rsidRPr="007B062C" w:rsidRDefault="00846D71" w:rsidP="00846D71">
      <w:pPr>
        <w:pStyle w:val="PARA"/>
        <w:numPr>
          <w:ilvl w:val="0"/>
          <w:numId w:val="0"/>
        </w:numPr>
      </w:pPr>
      <w:r w:rsidRPr="007B062C">
        <w:t xml:space="preserve">The Regulator’s </w:t>
      </w:r>
      <w:r w:rsidRPr="007B062C">
        <w:rPr>
          <w:i/>
          <w:iCs/>
        </w:rPr>
        <w:t>Risk Analysis Framework</w:t>
      </w:r>
      <w:r w:rsidRPr="007B062C">
        <w:t xml:space="preserve"> explains the approach used to evaluate licence applications and to develop the Risk Assessment and Risk Management Plans (RARMPs) that form the basis of her decisions</w:t>
      </w:r>
      <w:r w:rsidRPr="007B062C">
        <w:rPr>
          <w:rStyle w:val="FootnoteReference"/>
          <w:rFonts w:ascii="Times New (W1)" w:hAnsi="Times New (W1)" w:cs="Times New (W1)"/>
        </w:rPr>
        <w:footnoteReference w:id="1"/>
      </w:r>
      <w:r w:rsidRPr="007B062C">
        <w:t xml:space="preserve">. </w:t>
      </w:r>
    </w:p>
    <w:p w:rsidR="00846D71" w:rsidRPr="007B062C" w:rsidRDefault="00846D71" w:rsidP="00846D71">
      <w:pPr>
        <w:pStyle w:val="PARA"/>
        <w:numPr>
          <w:ilvl w:val="0"/>
          <w:numId w:val="0"/>
        </w:numPr>
      </w:pPr>
      <w:r w:rsidRPr="007B062C">
        <w:t>The RARMP for DIR 062/2005 has been finalised in accordance with the gene technology legislation</w:t>
      </w:r>
      <w:r w:rsidRPr="007B062C">
        <w:rPr>
          <w:i/>
          <w:iCs/>
        </w:rPr>
        <w:t>.</w:t>
      </w:r>
      <w:r w:rsidRPr="007B062C">
        <w:t xml:space="preserve"> Matters raised in the consultation process regarding risks to the health and safety of people or the environment from the dealings proposed by the applicant were taken into </w:t>
      </w:r>
      <w:r w:rsidRPr="007B062C">
        <w:lastRenderedPageBreak/>
        <w:t xml:space="preserve">account by the Regulator in deciding to issue a licence and the conditions that have been imposed. </w:t>
      </w:r>
    </w:p>
    <w:p w:rsidR="00846D71" w:rsidRPr="007B062C" w:rsidRDefault="00846D71" w:rsidP="00846D71">
      <w:pPr>
        <w:pStyle w:val="PARA"/>
        <w:numPr>
          <w:ilvl w:val="0"/>
          <w:numId w:val="0"/>
        </w:numPr>
      </w:pPr>
      <w:r w:rsidRPr="007B062C">
        <w:t>Consistent with Australia’s integrated regulatory framework for gene technology, the Regulator has also liaised closely with other regulatory agencies that have been considering applications relating to this release, namely Food Standard Australia New Zealand (FSANZ) and the Australian Pesticides and Veterinary Medicines Authority (APVMA), to avoid duplication and enable coordinated decision making.</w:t>
      </w:r>
    </w:p>
    <w:p w:rsidR="00846D71" w:rsidRPr="007B062C" w:rsidRDefault="00846D71" w:rsidP="00846D71">
      <w:pPr>
        <w:pStyle w:val="Heading2"/>
        <w:keepNext w:val="0"/>
      </w:pPr>
      <w:bookmarkStart w:id="11" w:name="_Toc121209896"/>
      <w:bookmarkStart w:id="12" w:name="_Toc135718531"/>
      <w:bookmarkStart w:id="13" w:name="_Toc136159905"/>
      <w:bookmarkStart w:id="14" w:name="_Toc136343731"/>
      <w:bookmarkStart w:id="15" w:name="_Toc141236853"/>
      <w:r w:rsidRPr="007B062C">
        <w:t>Section 1</w:t>
      </w:r>
      <w:r w:rsidRPr="007B062C">
        <w:tab/>
        <w:t>Application</w:t>
      </w:r>
      <w:bookmarkEnd w:id="8"/>
      <w:bookmarkEnd w:id="9"/>
      <w:bookmarkEnd w:id="10"/>
      <w:bookmarkEnd w:id="11"/>
      <w:bookmarkEnd w:id="12"/>
      <w:bookmarkEnd w:id="13"/>
      <w:bookmarkEnd w:id="14"/>
      <w:bookmarkEnd w:id="15"/>
    </w:p>
    <w:tbl>
      <w:tblPr>
        <w:tblW w:w="9720" w:type="dxa"/>
        <w:tblInd w:w="-252" w:type="dxa"/>
        <w:tblLayout w:type="fixed"/>
        <w:tblLook w:val="0000" w:firstRow="0" w:lastRow="0" w:firstColumn="0" w:lastColumn="0" w:noHBand="0" w:noVBand="0"/>
        <w:tblDescription w:val="Read across two columns"/>
      </w:tblPr>
      <w:tblGrid>
        <w:gridCol w:w="3420"/>
        <w:gridCol w:w="6300"/>
      </w:tblGrid>
      <w:tr w:rsidR="00846D71" w:rsidRPr="007B062C" w:rsidTr="006D6A5C">
        <w:tblPrEx>
          <w:tblCellMar>
            <w:top w:w="0" w:type="dxa"/>
            <w:bottom w:w="0" w:type="dxa"/>
          </w:tblCellMar>
        </w:tblPrEx>
        <w:trPr>
          <w:cantSplit/>
          <w:trHeight w:val="284"/>
        </w:trPr>
        <w:tc>
          <w:tcPr>
            <w:tcW w:w="3420" w:type="dxa"/>
            <w:tcBorders>
              <w:top w:val="single" w:sz="4" w:space="0" w:color="auto"/>
              <w:left w:val="single" w:sz="4" w:space="0" w:color="auto"/>
              <w:bottom w:val="single" w:sz="4" w:space="0" w:color="auto"/>
              <w:right w:val="single" w:sz="4" w:space="0" w:color="auto"/>
            </w:tcBorders>
          </w:tcPr>
          <w:p w:rsidR="00846D71" w:rsidRPr="007B062C" w:rsidRDefault="00846D71" w:rsidP="006D6A5C">
            <w:pPr>
              <w:pStyle w:val="RIGHTLIST"/>
              <w:keepNext w:val="0"/>
              <w:spacing w:before="40"/>
              <w:rPr>
                <w:rFonts w:ascii="Arial Narrow" w:hAnsi="Arial Narrow" w:cs="Arial Narrow"/>
                <w:b/>
                <w:bCs/>
                <w:sz w:val="20"/>
                <w:szCs w:val="20"/>
              </w:rPr>
            </w:pPr>
            <w:bookmarkStart w:id="16" w:name="_Toc354286329"/>
            <w:bookmarkStart w:id="17" w:name="_Toc365365034"/>
            <w:bookmarkStart w:id="18" w:name="_Toc366375608"/>
            <w:bookmarkStart w:id="19" w:name="_Toc366375979"/>
            <w:bookmarkStart w:id="20" w:name="_Toc366472959"/>
            <w:r w:rsidRPr="007B062C">
              <w:rPr>
                <w:rFonts w:ascii="Arial Narrow" w:hAnsi="Arial Narrow" w:cs="Arial Narrow"/>
                <w:b/>
                <w:bCs/>
                <w:sz w:val="20"/>
                <w:szCs w:val="20"/>
              </w:rPr>
              <w:t>Title:</w:t>
            </w:r>
          </w:p>
        </w:tc>
        <w:tc>
          <w:tcPr>
            <w:tcW w:w="6300" w:type="dxa"/>
            <w:tcBorders>
              <w:top w:val="single" w:sz="4" w:space="0" w:color="auto"/>
              <w:left w:val="single" w:sz="4" w:space="0" w:color="auto"/>
              <w:bottom w:val="single" w:sz="4" w:space="0" w:color="auto"/>
              <w:right w:val="single" w:sz="4" w:space="0" w:color="auto"/>
            </w:tcBorders>
          </w:tcPr>
          <w:p w:rsidR="00846D71" w:rsidRPr="007B062C" w:rsidRDefault="00846D71" w:rsidP="006D6A5C">
            <w:pPr>
              <w:pStyle w:val="RIGHTLIST"/>
              <w:keepNext w:val="0"/>
              <w:spacing w:before="40"/>
              <w:rPr>
                <w:rFonts w:ascii="Arial Narrow" w:hAnsi="Arial Narrow" w:cs="Arial Narrow"/>
                <w:sz w:val="20"/>
                <w:szCs w:val="20"/>
                <w:highlight w:val="yellow"/>
              </w:rPr>
            </w:pPr>
            <w:r w:rsidRPr="007B062C">
              <w:rPr>
                <w:rFonts w:ascii="Arial Narrow" w:hAnsi="Arial Narrow" w:cs="Arial Narrow"/>
                <w:sz w:val="20"/>
                <w:szCs w:val="20"/>
              </w:rPr>
              <w:t>Commercial release of herbicide tolerant Liberty Link</w:t>
            </w:r>
            <w:r w:rsidRPr="007B062C">
              <w:rPr>
                <w:rFonts w:ascii="Arial Narrow" w:hAnsi="Arial Narrow" w:cs="Arial Narrow"/>
                <w:sz w:val="20"/>
                <w:szCs w:val="20"/>
                <w:vertAlign w:val="superscript"/>
              </w:rPr>
              <w:t>®</w:t>
            </w:r>
            <w:r w:rsidRPr="007B062C">
              <w:rPr>
                <w:rFonts w:ascii="Arial Narrow" w:hAnsi="Arial Narrow" w:cs="Arial Narrow"/>
                <w:sz w:val="20"/>
                <w:szCs w:val="20"/>
              </w:rPr>
              <w:t xml:space="preserve"> Cotton for use in the Australian cropping system*</w:t>
            </w:r>
          </w:p>
        </w:tc>
      </w:tr>
      <w:bookmarkEnd w:id="16"/>
      <w:bookmarkEnd w:id="17"/>
      <w:bookmarkEnd w:id="18"/>
      <w:bookmarkEnd w:id="19"/>
      <w:bookmarkEnd w:id="20"/>
      <w:tr w:rsidR="00846D71" w:rsidRPr="007B062C" w:rsidTr="006D6A5C">
        <w:tblPrEx>
          <w:tblCellMar>
            <w:top w:w="0" w:type="dxa"/>
            <w:bottom w:w="0" w:type="dxa"/>
          </w:tblCellMar>
        </w:tblPrEx>
        <w:trPr>
          <w:cantSplit/>
          <w:trHeight w:val="282"/>
        </w:trPr>
        <w:tc>
          <w:tcPr>
            <w:tcW w:w="3420" w:type="dxa"/>
            <w:tcBorders>
              <w:top w:val="single" w:sz="4" w:space="0" w:color="auto"/>
              <w:left w:val="single" w:sz="4" w:space="0" w:color="auto"/>
              <w:bottom w:val="single" w:sz="4" w:space="0" w:color="auto"/>
              <w:right w:val="single" w:sz="4" w:space="0" w:color="auto"/>
            </w:tcBorders>
          </w:tcPr>
          <w:p w:rsidR="00846D71" w:rsidRPr="007B062C" w:rsidRDefault="00846D71" w:rsidP="006D6A5C">
            <w:pPr>
              <w:pStyle w:val="RIGHTLIST"/>
              <w:keepNext w:val="0"/>
              <w:spacing w:before="40"/>
              <w:rPr>
                <w:rFonts w:ascii="Arial Narrow" w:hAnsi="Arial Narrow" w:cs="Arial Narrow"/>
                <w:b/>
                <w:bCs/>
                <w:sz w:val="20"/>
                <w:szCs w:val="20"/>
              </w:rPr>
            </w:pPr>
            <w:r w:rsidRPr="007B062C">
              <w:rPr>
                <w:rFonts w:ascii="Arial Narrow" w:hAnsi="Arial Narrow" w:cs="Arial Narrow"/>
                <w:b/>
                <w:bCs/>
                <w:sz w:val="20"/>
                <w:szCs w:val="20"/>
              </w:rPr>
              <w:t>Applicant:</w:t>
            </w:r>
          </w:p>
        </w:tc>
        <w:tc>
          <w:tcPr>
            <w:tcW w:w="6300" w:type="dxa"/>
            <w:tcBorders>
              <w:top w:val="single" w:sz="4" w:space="0" w:color="auto"/>
              <w:left w:val="single" w:sz="4" w:space="0" w:color="auto"/>
              <w:bottom w:val="single" w:sz="4" w:space="0" w:color="auto"/>
              <w:right w:val="single" w:sz="4" w:space="0" w:color="auto"/>
            </w:tcBorders>
          </w:tcPr>
          <w:p w:rsidR="00846D71" w:rsidRPr="007B062C" w:rsidRDefault="00846D71" w:rsidP="006D6A5C">
            <w:pPr>
              <w:pStyle w:val="RIGHTLIST"/>
              <w:keepNext w:val="0"/>
              <w:spacing w:before="40"/>
              <w:rPr>
                <w:rFonts w:ascii="Arial Narrow" w:hAnsi="Arial Narrow" w:cs="Arial Narrow"/>
                <w:sz w:val="20"/>
                <w:szCs w:val="20"/>
              </w:rPr>
            </w:pPr>
            <w:r w:rsidRPr="007B062C">
              <w:rPr>
                <w:rFonts w:ascii="Arial Narrow" w:hAnsi="Arial Narrow" w:cs="Arial Narrow"/>
                <w:sz w:val="20"/>
                <w:szCs w:val="20"/>
              </w:rPr>
              <w:t xml:space="preserve">Bayer </w:t>
            </w:r>
            <w:proofErr w:type="spellStart"/>
            <w:r w:rsidRPr="007B062C">
              <w:rPr>
                <w:rFonts w:ascii="Arial Narrow" w:hAnsi="Arial Narrow" w:cs="Arial Narrow"/>
                <w:sz w:val="20"/>
                <w:szCs w:val="20"/>
              </w:rPr>
              <w:t>CropScience</w:t>
            </w:r>
            <w:proofErr w:type="spellEnd"/>
            <w:r w:rsidRPr="007B062C">
              <w:rPr>
                <w:rFonts w:ascii="Arial Narrow" w:hAnsi="Arial Narrow" w:cs="Arial Narrow"/>
                <w:sz w:val="20"/>
                <w:szCs w:val="20"/>
              </w:rPr>
              <w:t xml:space="preserve"> Pty Ltd</w:t>
            </w:r>
          </w:p>
        </w:tc>
      </w:tr>
      <w:tr w:rsidR="00846D71" w:rsidRPr="007B062C" w:rsidTr="006D6A5C">
        <w:tblPrEx>
          <w:tblCellMar>
            <w:top w:w="0" w:type="dxa"/>
            <w:bottom w:w="0" w:type="dxa"/>
          </w:tblCellMar>
        </w:tblPrEx>
        <w:trPr>
          <w:cantSplit/>
          <w:trHeight w:val="199"/>
        </w:trPr>
        <w:tc>
          <w:tcPr>
            <w:tcW w:w="3420" w:type="dxa"/>
            <w:tcBorders>
              <w:top w:val="single" w:sz="4" w:space="0" w:color="auto"/>
              <w:left w:val="single" w:sz="4" w:space="0" w:color="auto"/>
              <w:bottom w:val="single" w:sz="4" w:space="0" w:color="auto"/>
              <w:right w:val="single" w:sz="4" w:space="0" w:color="auto"/>
            </w:tcBorders>
          </w:tcPr>
          <w:p w:rsidR="00846D71" w:rsidRPr="007B062C" w:rsidRDefault="00846D71" w:rsidP="006D6A5C">
            <w:pPr>
              <w:pStyle w:val="RIGHTLIST"/>
              <w:keepNext w:val="0"/>
              <w:spacing w:before="40"/>
              <w:rPr>
                <w:rFonts w:ascii="Arial Narrow" w:hAnsi="Arial Narrow" w:cs="Arial Narrow"/>
                <w:b/>
                <w:bCs/>
                <w:sz w:val="20"/>
                <w:szCs w:val="20"/>
              </w:rPr>
            </w:pPr>
            <w:r w:rsidRPr="007B062C">
              <w:rPr>
                <w:rFonts w:ascii="Arial Narrow" w:hAnsi="Arial Narrow" w:cs="Arial Narrow"/>
                <w:b/>
                <w:bCs/>
                <w:sz w:val="20"/>
                <w:szCs w:val="20"/>
              </w:rPr>
              <w:t>Common name of the parent organism:</w:t>
            </w:r>
          </w:p>
        </w:tc>
        <w:tc>
          <w:tcPr>
            <w:tcW w:w="6300" w:type="dxa"/>
            <w:tcBorders>
              <w:top w:val="single" w:sz="4" w:space="0" w:color="auto"/>
              <w:left w:val="single" w:sz="4" w:space="0" w:color="auto"/>
              <w:bottom w:val="single" w:sz="4" w:space="0" w:color="auto"/>
              <w:right w:val="single" w:sz="4" w:space="0" w:color="auto"/>
            </w:tcBorders>
          </w:tcPr>
          <w:p w:rsidR="00846D71" w:rsidRPr="007B062C" w:rsidRDefault="00846D71" w:rsidP="006D6A5C">
            <w:pPr>
              <w:pStyle w:val="RIGHTLIST"/>
              <w:keepNext w:val="0"/>
              <w:spacing w:before="40"/>
              <w:rPr>
                <w:rFonts w:ascii="Arial Narrow" w:hAnsi="Arial Narrow" w:cs="Arial Narrow"/>
                <w:sz w:val="20"/>
                <w:szCs w:val="20"/>
              </w:rPr>
            </w:pPr>
            <w:r w:rsidRPr="007B062C">
              <w:rPr>
                <w:rFonts w:ascii="Arial Narrow" w:hAnsi="Arial Narrow" w:cs="Arial Narrow"/>
                <w:sz w:val="20"/>
                <w:szCs w:val="20"/>
              </w:rPr>
              <w:t>Cotton</w:t>
            </w:r>
          </w:p>
        </w:tc>
      </w:tr>
      <w:tr w:rsidR="00846D71" w:rsidRPr="007B062C" w:rsidTr="006D6A5C">
        <w:tblPrEx>
          <w:tblCellMar>
            <w:top w:w="0" w:type="dxa"/>
            <w:bottom w:w="0" w:type="dxa"/>
          </w:tblCellMar>
        </w:tblPrEx>
        <w:trPr>
          <w:cantSplit/>
          <w:trHeight w:val="233"/>
        </w:trPr>
        <w:tc>
          <w:tcPr>
            <w:tcW w:w="3420" w:type="dxa"/>
            <w:tcBorders>
              <w:top w:val="single" w:sz="4" w:space="0" w:color="auto"/>
              <w:left w:val="single" w:sz="4" w:space="0" w:color="auto"/>
              <w:bottom w:val="single" w:sz="4" w:space="0" w:color="auto"/>
              <w:right w:val="single" w:sz="4" w:space="0" w:color="auto"/>
            </w:tcBorders>
          </w:tcPr>
          <w:p w:rsidR="00846D71" w:rsidRPr="007B062C" w:rsidRDefault="00846D71" w:rsidP="006D6A5C">
            <w:pPr>
              <w:pStyle w:val="RIGHTLIST"/>
              <w:keepNext w:val="0"/>
              <w:spacing w:before="40"/>
              <w:rPr>
                <w:rFonts w:ascii="Arial Narrow" w:hAnsi="Arial Narrow" w:cs="Arial Narrow"/>
                <w:b/>
                <w:bCs/>
                <w:sz w:val="20"/>
                <w:szCs w:val="20"/>
              </w:rPr>
            </w:pPr>
            <w:r w:rsidRPr="007B062C">
              <w:rPr>
                <w:rFonts w:ascii="Arial Narrow" w:hAnsi="Arial Narrow" w:cs="Arial Narrow"/>
                <w:b/>
                <w:bCs/>
                <w:sz w:val="20"/>
                <w:szCs w:val="20"/>
              </w:rPr>
              <w:t>Scientific name of the parent organism:</w:t>
            </w:r>
          </w:p>
        </w:tc>
        <w:tc>
          <w:tcPr>
            <w:tcW w:w="6300" w:type="dxa"/>
            <w:tcBorders>
              <w:top w:val="single" w:sz="4" w:space="0" w:color="auto"/>
              <w:left w:val="single" w:sz="4" w:space="0" w:color="auto"/>
              <w:bottom w:val="single" w:sz="4" w:space="0" w:color="auto"/>
              <w:right w:val="single" w:sz="4" w:space="0" w:color="auto"/>
            </w:tcBorders>
          </w:tcPr>
          <w:p w:rsidR="00846D71" w:rsidRPr="007B062C" w:rsidRDefault="00846D71" w:rsidP="006D6A5C">
            <w:pPr>
              <w:pStyle w:val="RIGHTLIST"/>
              <w:keepNext w:val="0"/>
              <w:spacing w:before="40"/>
              <w:rPr>
                <w:rFonts w:ascii="Arial Narrow" w:hAnsi="Arial Narrow" w:cs="Arial Narrow"/>
                <w:sz w:val="20"/>
                <w:szCs w:val="20"/>
              </w:rPr>
            </w:pPr>
            <w:proofErr w:type="spellStart"/>
            <w:r w:rsidRPr="007B062C">
              <w:rPr>
                <w:rFonts w:ascii="Arial Narrow" w:hAnsi="Arial Narrow" w:cs="Arial Narrow"/>
                <w:i/>
                <w:iCs/>
                <w:sz w:val="20"/>
                <w:szCs w:val="20"/>
              </w:rPr>
              <w:t>Gossypium</w:t>
            </w:r>
            <w:proofErr w:type="spellEnd"/>
            <w:r w:rsidRPr="007B062C">
              <w:rPr>
                <w:rFonts w:ascii="Arial Narrow" w:hAnsi="Arial Narrow" w:cs="Arial Narrow"/>
                <w:i/>
                <w:iCs/>
                <w:sz w:val="20"/>
                <w:szCs w:val="20"/>
              </w:rPr>
              <w:t> </w:t>
            </w:r>
            <w:proofErr w:type="spellStart"/>
            <w:r w:rsidRPr="007B062C">
              <w:rPr>
                <w:rFonts w:ascii="Arial Narrow" w:hAnsi="Arial Narrow" w:cs="Arial Narrow"/>
                <w:i/>
                <w:iCs/>
                <w:sz w:val="20"/>
                <w:szCs w:val="20"/>
              </w:rPr>
              <w:t>hirsutum</w:t>
            </w:r>
            <w:proofErr w:type="spellEnd"/>
            <w:r w:rsidRPr="007B062C">
              <w:rPr>
                <w:rFonts w:ascii="Arial Narrow" w:hAnsi="Arial Narrow" w:cs="Arial Narrow"/>
                <w:sz w:val="20"/>
                <w:szCs w:val="20"/>
              </w:rPr>
              <w:t xml:space="preserve"> L.</w:t>
            </w:r>
          </w:p>
        </w:tc>
      </w:tr>
      <w:tr w:rsidR="00846D71" w:rsidRPr="007B062C" w:rsidTr="006D6A5C">
        <w:tblPrEx>
          <w:tblCellMar>
            <w:top w:w="0" w:type="dxa"/>
            <w:bottom w:w="0" w:type="dxa"/>
          </w:tblCellMar>
        </w:tblPrEx>
        <w:trPr>
          <w:cantSplit/>
          <w:trHeight w:val="125"/>
        </w:trPr>
        <w:tc>
          <w:tcPr>
            <w:tcW w:w="3420" w:type="dxa"/>
            <w:tcBorders>
              <w:top w:val="single" w:sz="4" w:space="0" w:color="auto"/>
              <w:left w:val="single" w:sz="4" w:space="0" w:color="auto"/>
              <w:bottom w:val="single" w:sz="4" w:space="0" w:color="auto"/>
              <w:right w:val="single" w:sz="4" w:space="0" w:color="auto"/>
            </w:tcBorders>
          </w:tcPr>
          <w:p w:rsidR="00846D71" w:rsidRPr="007B062C" w:rsidRDefault="00846D71" w:rsidP="006D6A5C">
            <w:pPr>
              <w:pStyle w:val="RIGHTLIST"/>
              <w:keepNext w:val="0"/>
              <w:spacing w:before="40"/>
              <w:rPr>
                <w:rFonts w:ascii="Arial Narrow" w:hAnsi="Arial Narrow" w:cs="Arial Narrow"/>
                <w:b/>
                <w:bCs/>
                <w:sz w:val="20"/>
                <w:szCs w:val="20"/>
              </w:rPr>
            </w:pPr>
            <w:r w:rsidRPr="007B062C">
              <w:rPr>
                <w:rFonts w:ascii="Arial Narrow" w:hAnsi="Arial Narrow" w:cs="Arial Narrow"/>
                <w:b/>
                <w:bCs/>
                <w:sz w:val="20"/>
                <w:szCs w:val="20"/>
              </w:rPr>
              <w:t>Modified trait(s):</w:t>
            </w:r>
          </w:p>
        </w:tc>
        <w:tc>
          <w:tcPr>
            <w:tcW w:w="6300" w:type="dxa"/>
            <w:tcBorders>
              <w:top w:val="single" w:sz="4" w:space="0" w:color="auto"/>
              <w:left w:val="single" w:sz="4" w:space="0" w:color="auto"/>
              <w:bottom w:val="single" w:sz="4" w:space="0" w:color="auto"/>
              <w:right w:val="single" w:sz="4" w:space="0" w:color="auto"/>
            </w:tcBorders>
          </w:tcPr>
          <w:p w:rsidR="00846D71" w:rsidRPr="007B062C" w:rsidRDefault="00846D71" w:rsidP="006D6A5C">
            <w:pPr>
              <w:pStyle w:val="RIGHTLIST"/>
              <w:keepNext w:val="0"/>
              <w:spacing w:before="40"/>
              <w:rPr>
                <w:rFonts w:ascii="Arial Narrow" w:hAnsi="Arial Narrow" w:cs="Arial Narrow"/>
                <w:sz w:val="20"/>
                <w:szCs w:val="20"/>
              </w:rPr>
            </w:pPr>
            <w:r w:rsidRPr="007B062C">
              <w:rPr>
                <w:rFonts w:ascii="Arial Narrow" w:hAnsi="Arial Narrow" w:cs="Arial Narrow"/>
                <w:sz w:val="20"/>
                <w:szCs w:val="20"/>
              </w:rPr>
              <w:t xml:space="preserve">Herbicide tolerance </w:t>
            </w:r>
          </w:p>
        </w:tc>
      </w:tr>
      <w:tr w:rsidR="00846D71" w:rsidRPr="007B062C" w:rsidTr="006D6A5C">
        <w:tblPrEx>
          <w:tblCellMar>
            <w:top w:w="0" w:type="dxa"/>
            <w:bottom w:w="0" w:type="dxa"/>
          </w:tblCellMar>
        </w:tblPrEx>
        <w:trPr>
          <w:cantSplit/>
          <w:trHeight w:val="506"/>
        </w:trPr>
        <w:tc>
          <w:tcPr>
            <w:tcW w:w="3420" w:type="dxa"/>
            <w:tcBorders>
              <w:top w:val="single" w:sz="4" w:space="0" w:color="auto"/>
              <w:left w:val="single" w:sz="4" w:space="0" w:color="auto"/>
              <w:bottom w:val="single" w:sz="4" w:space="0" w:color="auto"/>
              <w:right w:val="single" w:sz="4" w:space="0" w:color="auto"/>
            </w:tcBorders>
          </w:tcPr>
          <w:p w:rsidR="00846D71" w:rsidRPr="007B062C" w:rsidRDefault="00846D71" w:rsidP="006D6A5C">
            <w:pPr>
              <w:pStyle w:val="RIGHTLIST"/>
              <w:keepNext w:val="0"/>
              <w:spacing w:before="40"/>
              <w:rPr>
                <w:rFonts w:ascii="Arial Narrow" w:hAnsi="Arial Narrow" w:cs="Arial Narrow"/>
                <w:b/>
                <w:bCs/>
                <w:sz w:val="20"/>
                <w:szCs w:val="20"/>
              </w:rPr>
            </w:pPr>
            <w:r w:rsidRPr="007B062C">
              <w:rPr>
                <w:rFonts w:ascii="Arial Narrow" w:hAnsi="Arial Narrow" w:cs="Arial Narrow"/>
                <w:b/>
                <w:bCs/>
                <w:sz w:val="20"/>
                <w:szCs w:val="20"/>
              </w:rPr>
              <w:t>Identity of the gene(s) responsible for the modified trait(s):</w:t>
            </w:r>
          </w:p>
        </w:tc>
        <w:tc>
          <w:tcPr>
            <w:tcW w:w="6300" w:type="dxa"/>
            <w:tcBorders>
              <w:top w:val="single" w:sz="4" w:space="0" w:color="auto"/>
              <w:left w:val="single" w:sz="4" w:space="0" w:color="auto"/>
              <w:bottom w:val="single" w:sz="4" w:space="0" w:color="auto"/>
              <w:right w:val="single" w:sz="4" w:space="0" w:color="auto"/>
            </w:tcBorders>
          </w:tcPr>
          <w:p w:rsidR="00846D71" w:rsidRPr="007B062C" w:rsidRDefault="00846D71" w:rsidP="006D6A5C">
            <w:pPr>
              <w:pStyle w:val="RIGHTLIST"/>
              <w:keepNext w:val="0"/>
              <w:spacing w:before="40"/>
              <w:ind w:right="0"/>
              <w:rPr>
                <w:rFonts w:ascii="Arial Narrow" w:hAnsi="Arial Narrow" w:cs="Arial Narrow"/>
                <w:sz w:val="20"/>
                <w:szCs w:val="20"/>
              </w:rPr>
            </w:pPr>
            <w:r w:rsidRPr="007B062C">
              <w:rPr>
                <w:rFonts w:ascii="Arial Narrow" w:hAnsi="Arial Narrow" w:cs="Arial Narrow"/>
                <w:i/>
                <w:iCs/>
                <w:sz w:val="20"/>
                <w:szCs w:val="20"/>
              </w:rPr>
              <w:t>bar</w:t>
            </w:r>
            <w:r w:rsidRPr="007B062C">
              <w:rPr>
                <w:rFonts w:ascii="Arial Narrow" w:hAnsi="Arial Narrow" w:cs="Arial Narrow"/>
                <w:sz w:val="20"/>
                <w:szCs w:val="20"/>
              </w:rPr>
              <w:t xml:space="preserve"> gene from the bacterium </w:t>
            </w:r>
            <w:r w:rsidRPr="007B062C">
              <w:rPr>
                <w:rFonts w:ascii="Arial Narrow" w:hAnsi="Arial Narrow" w:cs="Arial Narrow"/>
                <w:i/>
                <w:iCs/>
                <w:sz w:val="20"/>
                <w:szCs w:val="20"/>
              </w:rPr>
              <w:t xml:space="preserve">Streptomyces </w:t>
            </w:r>
            <w:proofErr w:type="spellStart"/>
            <w:r w:rsidRPr="007B062C">
              <w:rPr>
                <w:rFonts w:ascii="Arial Narrow" w:hAnsi="Arial Narrow" w:cs="Arial Narrow"/>
                <w:i/>
                <w:iCs/>
                <w:sz w:val="20"/>
                <w:szCs w:val="20"/>
              </w:rPr>
              <w:t>hygroscopicus</w:t>
            </w:r>
            <w:proofErr w:type="spellEnd"/>
          </w:p>
        </w:tc>
      </w:tr>
      <w:tr w:rsidR="00846D71" w:rsidRPr="007B062C" w:rsidTr="006D6A5C">
        <w:tblPrEx>
          <w:tblCellMar>
            <w:top w:w="0" w:type="dxa"/>
            <w:bottom w:w="0" w:type="dxa"/>
          </w:tblCellMar>
        </w:tblPrEx>
        <w:trPr>
          <w:cantSplit/>
          <w:trHeight w:val="283"/>
        </w:trPr>
        <w:tc>
          <w:tcPr>
            <w:tcW w:w="3420" w:type="dxa"/>
            <w:tcBorders>
              <w:top w:val="single" w:sz="4" w:space="0" w:color="auto"/>
              <w:left w:val="single" w:sz="4" w:space="0" w:color="auto"/>
              <w:bottom w:val="single" w:sz="4" w:space="0" w:color="auto"/>
              <w:right w:val="single" w:sz="4" w:space="0" w:color="auto"/>
            </w:tcBorders>
          </w:tcPr>
          <w:p w:rsidR="00846D71" w:rsidRPr="007B062C" w:rsidRDefault="00846D71" w:rsidP="006D6A5C">
            <w:pPr>
              <w:pStyle w:val="RIGHTLIST"/>
              <w:keepNext w:val="0"/>
              <w:spacing w:before="40"/>
              <w:rPr>
                <w:rFonts w:ascii="Arial Narrow" w:hAnsi="Arial Narrow" w:cs="Arial Narrow"/>
                <w:b/>
                <w:bCs/>
                <w:sz w:val="20"/>
                <w:szCs w:val="20"/>
              </w:rPr>
            </w:pPr>
            <w:r w:rsidRPr="007B062C">
              <w:rPr>
                <w:rFonts w:ascii="Arial Narrow" w:hAnsi="Arial Narrow" w:cs="Arial Narrow"/>
                <w:b/>
                <w:bCs/>
                <w:sz w:val="20"/>
                <w:szCs w:val="20"/>
              </w:rPr>
              <w:t>Proposed location(s):</w:t>
            </w:r>
          </w:p>
        </w:tc>
        <w:tc>
          <w:tcPr>
            <w:tcW w:w="6300" w:type="dxa"/>
            <w:tcBorders>
              <w:top w:val="single" w:sz="4" w:space="0" w:color="auto"/>
              <w:left w:val="single" w:sz="4" w:space="0" w:color="auto"/>
              <w:bottom w:val="single" w:sz="4" w:space="0" w:color="auto"/>
              <w:right w:val="single" w:sz="4" w:space="0" w:color="auto"/>
            </w:tcBorders>
          </w:tcPr>
          <w:p w:rsidR="00846D71" w:rsidRPr="007B062C" w:rsidRDefault="00846D71" w:rsidP="006D6A5C">
            <w:pPr>
              <w:pStyle w:val="RIGHTLIST"/>
              <w:keepNext w:val="0"/>
              <w:spacing w:before="40"/>
              <w:rPr>
                <w:rFonts w:ascii="Arial Narrow" w:hAnsi="Arial Narrow" w:cs="Arial Narrow"/>
                <w:sz w:val="20"/>
                <w:szCs w:val="20"/>
              </w:rPr>
            </w:pPr>
            <w:r w:rsidRPr="007B062C">
              <w:rPr>
                <w:rFonts w:ascii="Arial Narrow" w:hAnsi="Arial Narrow" w:cs="Arial Narrow"/>
                <w:sz w:val="20"/>
                <w:szCs w:val="20"/>
              </w:rPr>
              <w:t xml:space="preserve">Unrestricted planting in current and potential cotton growing areas </w:t>
            </w:r>
          </w:p>
        </w:tc>
      </w:tr>
      <w:tr w:rsidR="00846D71" w:rsidRPr="007B062C" w:rsidTr="006D6A5C">
        <w:tblPrEx>
          <w:tblCellMar>
            <w:top w:w="0" w:type="dxa"/>
            <w:bottom w:w="0" w:type="dxa"/>
          </w:tblCellMar>
        </w:tblPrEx>
        <w:trPr>
          <w:cantSplit/>
          <w:trHeight w:val="145"/>
        </w:trPr>
        <w:tc>
          <w:tcPr>
            <w:tcW w:w="3420" w:type="dxa"/>
            <w:tcBorders>
              <w:top w:val="single" w:sz="4" w:space="0" w:color="auto"/>
              <w:left w:val="single" w:sz="4" w:space="0" w:color="auto"/>
              <w:bottom w:val="single" w:sz="4" w:space="0" w:color="auto"/>
              <w:right w:val="single" w:sz="4" w:space="0" w:color="auto"/>
            </w:tcBorders>
          </w:tcPr>
          <w:p w:rsidR="00846D71" w:rsidRPr="007B062C" w:rsidRDefault="00846D71" w:rsidP="006D6A5C">
            <w:pPr>
              <w:pStyle w:val="RIGHTLIST"/>
              <w:keepNext w:val="0"/>
              <w:spacing w:before="40"/>
              <w:rPr>
                <w:rFonts w:ascii="Arial Narrow" w:hAnsi="Arial Narrow" w:cs="Arial Narrow"/>
                <w:b/>
                <w:bCs/>
                <w:sz w:val="20"/>
                <w:szCs w:val="20"/>
              </w:rPr>
            </w:pPr>
            <w:r w:rsidRPr="007B062C">
              <w:rPr>
                <w:rFonts w:ascii="Arial Narrow" w:hAnsi="Arial Narrow" w:cs="Arial Narrow"/>
                <w:b/>
                <w:bCs/>
                <w:sz w:val="20"/>
                <w:szCs w:val="20"/>
              </w:rPr>
              <w:t>Proposed release size:</w:t>
            </w:r>
          </w:p>
        </w:tc>
        <w:tc>
          <w:tcPr>
            <w:tcW w:w="6300" w:type="dxa"/>
            <w:tcBorders>
              <w:top w:val="single" w:sz="4" w:space="0" w:color="auto"/>
              <w:left w:val="single" w:sz="4" w:space="0" w:color="auto"/>
              <w:bottom w:val="single" w:sz="4" w:space="0" w:color="auto"/>
              <w:right w:val="single" w:sz="4" w:space="0" w:color="auto"/>
            </w:tcBorders>
          </w:tcPr>
          <w:p w:rsidR="00846D71" w:rsidRPr="007B062C" w:rsidRDefault="00846D71" w:rsidP="006D6A5C">
            <w:pPr>
              <w:pStyle w:val="RIGHTLIST"/>
              <w:keepNext w:val="0"/>
              <w:spacing w:before="40"/>
              <w:rPr>
                <w:rFonts w:ascii="Arial Narrow" w:hAnsi="Arial Narrow" w:cs="Arial Narrow"/>
                <w:sz w:val="20"/>
                <w:szCs w:val="20"/>
              </w:rPr>
            </w:pPr>
            <w:proofErr w:type="gramStart"/>
            <w:r w:rsidRPr="007B062C">
              <w:rPr>
                <w:rFonts w:ascii="Arial Narrow" w:hAnsi="Arial Narrow" w:cs="Arial Narrow"/>
                <w:sz w:val="20"/>
                <w:szCs w:val="20"/>
              </w:rPr>
              <w:t>Phased introduction over 3 years to commercial scale planting, as well as transport and stockfeed use anywhere in Australia.</w:t>
            </w:r>
            <w:proofErr w:type="gramEnd"/>
            <w:r w:rsidRPr="007B062C">
              <w:rPr>
                <w:rFonts w:ascii="Arial Narrow" w:hAnsi="Arial Narrow" w:cs="Arial Narrow"/>
                <w:sz w:val="20"/>
                <w:szCs w:val="20"/>
              </w:rPr>
              <w:t xml:space="preserve"> </w:t>
            </w:r>
          </w:p>
        </w:tc>
      </w:tr>
      <w:tr w:rsidR="00846D71" w:rsidRPr="007B062C" w:rsidTr="006D6A5C">
        <w:tblPrEx>
          <w:tblCellMar>
            <w:top w:w="0" w:type="dxa"/>
            <w:bottom w:w="0" w:type="dxa"/>
          </w:tblCellMar>
        </w:tblPrEx>
        <w:trPr>
          <w:cantSplit/>
          <w:trHeight w:val="165"/>
        </w:trPr>
        <w:tc>
          <w:tcPr>
            <w:tcW w:w="3420" w:type="dxa"/>
            <w:tcBorders>
              <w:top w:val="single" w:sz="4" w:space="0" w:color="auto"/>
              <w:left w:val="single" w:sz="4" w:space="0" w:color="auto"/>
              <w:bottom w:val="single" w:sz="4" w:space="0" w:color="auto"/>
              <w:right w:val="single" w:sz="4" w:space="0" w:color="auto"/>
            </w:tcBorders>
          </w:tcPr>
          <w:p w:rsidR="00846D71" w:rsidRPr="007B062C" w:rsidRDefault="00846D71" w:rsidP="006D6A5C">
            <w:pPr>
              <w:pStyle w:val="RIGHTLIST"/>
              <w:keepNext w:val="0"/>
              <w:spacing w:before="40"/>
              <w:rPr>
                <w:rFonts w:ascii="Arial Narrow" w:hAnsi="Arial Narrow" w:cs="Arial Narrow"/>
                <w:b/>
                <w:bCs/>
                <w:sz w:val="20"/>
                <w:szCs w:val="20"/>
              </w:rPr>
            </w:pPr>
            <w:r w:rsidRPr="007B062C">
              <w:rPr>
                <w:rFonts w:ascii="Arial Narrow" w:hAnsi="Arial Narrow" w:cs="Arial Narrow"/>
                <w:b/>
                <w:bCs/>
                <w:sz w:val="20"/>
                <w:szCs w:val="20"/>
              </w:rPr>
              <w:t>Proposed time of release:</w:t>
            </w:r>
          </w:p>
        </w:tc>
        <w:tc>
          <w:tcPr>
            <w:tcW w:w="6300" w:type="dxa"/>
            <w:tcBorders>
              <w:top w:val="single" w:sz="4" w:space="0" w:color="auto"/>
              <w:left w:val="single" w:sz="4" w:space="0" w:color="auto"/>
              <w:bottom w:val="single" w:sz="4" w:space="0" w:color="auto"/>
              <w:right w:val="single" w:sz="4" w:space="0" w:color="auto"/>
            </w:tcBorders>
          </w:tcPr>
          <w:p w:rsidR="00846D71" w:rsidRPr="007B062C" w:rsidRDefault="00846D71" w:rsidP="006D6A5C">
            <w:pPr>
              <w:pStyle w:val="RIGHTLIST"/>
              <w:keepNext w:val="0"/>
              <w:spacing w:before="40"/>
              <w:rPr>
                <w:rFonts w:ascii="Arial Narrow" w:hAnsi="Arial Narrow" w:cs="Arial Narrow"/>
                <w:sz w:val="20"/>
                <w:szCs w:val="20"/>
              </w:rPr>
            </w:pPr>
            <w:r w:rsidRPr="007B062C">
              <w:rPr>
                <w:rFonts w:ascii="Arial Narrow" w:hAnsi="Arial Narrow" w:cs="Arial Narrow"/>
                <w:sz w:val="20"/>
                <w:szCs w:val="20"/>
              </w:rPr>
              <w:t>Ongoing from August 2006</w:t>
            </w:r>
          </w:p>
        </w:tc>
      </w:tr>
      <w:tr w:rsidR="00846D71" w:rsidRPr="007B062C" w:rsidTr="006D6A5C">
        <w:tblPrEx>
          <w:tblCellMar>
            <w:top w:w="0" w:type="dxa"/>
            <w:bottom w:w="0" w:type="dxa"/>
          </w:tblCellMar>
        </w:tblPrEx>
        <w:trPr>
          <w:cantSplit/>
          <w:trHeight w:val="165"/>
        </w:trPr>
        <w:tc>
          <w:tcPr>
            <w:tcW w:w="9720" w:type="dxa"/>
            <w:gridSpan w:val="2"/>
            <w:tcBorders>
              <w:top w:val="single" w:sz="4" w:space="0" w:color="auto"/>
            </w:tcBorders>
          </w:tcPr>
          <w:p w:rsidR="00846D71" w:rsidRPr="007B062C" w:rsidRDefault="00846D71" w:rsidP="006D6A5C">
            <w:pPr>
              <w:pStyle w:val="RIGHTLIST"/>
              <w:keepNext w:val="0"/>
              <w:spacing w:before="0" w:after="0"/>
              <w:rPr>
                <w:rFonts w:ascii="Arial Narrow" w:hAnsi="Arial Narrow" w:cs="Arial Narrow"/>
                <w:sz w:val="20"/>
                <w:szCs w:val="20"/>
              </w:rPr>
            </w:pPr>
          </w:p>
          <w:p w:rsidR="00846D71" w:rsidRPr="007B062C" w:rsidRDefault="00846D71" w:rsidP="006D6A5C">
            <w:pPr>
              <w:pStyle w:val="RIGHTLIST"/>
              <w:keepNext w:val="0"/>
              <w:spacing w:before="0" w:after="0"/>
              <w:rPr>
                <w:rFonts w:ascii="Arial Narrow" w:hAnsi="Arial Narrow" w:cs="Arial Narrow"/>
                <w:i/>
                <w:iCs/>
                <w:sz w:val="20"/>
                <w:szCs w:val="20"/>
              </w:rPr>
            </w:pPr>
            <w:r w:rsidRPr="007B062C">
              <w:rPr>
                <w:rFonts w:ascii="Arial Narrow" w:hAnsi="Arial Narrow" w:cs="Arial Narrow"/>
                <w:sz w:val="20"/>
                <w:szCs w:val="20"/>
              </w:rPr>
              <w:t xml:space="preserve">*The title of the licence application submitted by Bayer is </w:t>
            </w:r>
            <w:r w:rsidRPr="007B062C">
              <w:rPr>
                <w:rFonts w:ascii="Arial Narrow" w:hAnsi="Arial Narrow" w:cs="Arial Narrow"/>
                <w:i/>
                <w:iCs/>
                <w:sz w:val="20"/>
                <w:szCs w:val="20"/>
              </w:rPr>
              <w:t>Commercial release of the herbicide tolerant cotton event LLCotton25 (</w:t>
            </w:r>
            <w:proofErr w:type="spellStart"/>
            <w:r w:rsidRPr="007B062C">
              <w:rPr>
                <w:rFonts w:ascii="Arial Narrow" w:hAnsi="Arial Narrow" w:cs="Arial Narrow"/>
                <w:i/>
                <w:iCs/>
                <w:sz w:val="20"/>
                <w:szCs w:val="20"/>
              </w:rPr>
              <w:t>Gossypium</w:t>
            </w:r>
            <w:proofErr w:type="spellEnd"/>
            <w:r w:rsidRPr="007B062C">
              <w:rPr>
                <w:rFonts w:ascii="Arial Narrow" w:hAnsi="Arial Narrow" w:cs="Arial Narrow"/>
                <w:i/>
                <w:iCs/>
                <w:sz w:val="20"/>
                <w:szCs w:val="20"/>
              </w:rPr>
              <w:t xml:space="preserve"> </w:t>
            </w:r>
            <w:proofErr w:type="spellStart"/>
            <w:r w:rsidRPr="007B062C">
              <w:rPr>
                <w:rFonts w:ascii="Arial Narrow" w:hAnsi="Arial Narrow" w:cs="Arial Narrow"/>
                <w:i/>
                <w:iCs/>
                <w:sz w:val="20"/>
                <w:szCs w:val="20"/>
              </w:rPr>
              <w:t>hirsutum</w:t>
            </w:r>
            <w:proofErr w:type="spellEnd"/>
            <w:r w:rsidRPr="007B062C">
              <w:rPr>
                <w:rFonts w:ascii="Arial Narrow" w:hAnsi="Arial Narrow" w:cs="Arial Narrow"/>
                <w:i/>
                <w:iCs/>
                <w:sz w:val="20"/>
                <w:szCs w:val="20"/>
              </w:rPr>
              <w:t>) for use in the Australian cropping system</w:t>
            </w:r>
          </w:p>
        </w:tc>
      </w:tr>
    </w:tbl>
    <w:p w:rsidR="00846D71" w:rsidRPr="007B062C" w:rsidRDefault="00846D71" w:rsidP="00846D71">
      <w:pPr>
        <w:pStyle w:val="PARA"/>
        <w:numPr>
          <w:ilvl w:val="0"/>
          <w:numId w:val="0"/>
        </w:numPr>
      </w:pPr>
      <w:r w:rsidRPr="007B062C">
        <w:t xml:space="preserve">Bayer applied for a licence to release </w:t>
      </w:r>
      <w:proofErr w:type="gramStart"/>
      <w:r w:rsidRPr="007B062C">
        <w:t>a</w:t>
      </w:r>
      <w:proofErr w:type="gramEnd"/>
      <w:r w:rsidRPr="007B062C">
        <w:t xml:space="preserve"> herbicide tolerant GM cotton, Liberty Link</w:t>
      </w:r>
      <w:r w:rsidRPr="007B062C">
        <w:rPr>
          <w:vertAlign w:val="superscript"/>
        </w:rPr>
        <w:t>®</w:t>
      </w:r>
      <w:r w:rsidRPr="007B062C">
        <w:t xml:space="preserve"> Cotton, into the environment. Bayer is seeking approval for unrestricted, commer</w:t>
      </w:r>
      <w:bookmarkStart w:id="21" w:name="_GoBack"/>
      <w:bookmarkEnd w:id="21"/>
      <w:r w:rsidRPr="007B062C">
        <w:t>cial scale planting of the GM cotton in all current cotton growing areas and potential future areas with environmental conditions suitable for cotton cultivation in Australia.</w:t>
      </w:r>
    </w:p>
    <w:p w:rsidR="00846D71" w:rsidRPr="007B062C" w:rsidRDefault="00846D71" w:rsidP="00846D71">
      <w:pPr>
        <w:pStyle w:val="PARA"/>
        <w:numPr>
          <w:ilvl w:val="0"/>
          <w:numId w:val="0"/>
        </w:numPr>
      </w:pPr>
      <w:r w:rsidRPr="007B062C">
        <w:t>The GM cotton has only one introduced gene, the herbicide tolerance gene (</w:t>
      </w:r>
      <w:r w:rsidRPr="007B062C">
        <w:rPr>
          <w:i/>
          <w:iCs/>
        </w:rPr>
        <w:t>bar</w:t>
      </w:r>
      <w:r w:rsidRPr="007B062C">
        <w:t>), isolated from a common soil bacterium,</w:t>
      </w:r>
      <w:r w:rsidRPr="007B062C">
        <w:rPr>
          <w:i/>
          <w:iCs/>
        </w:rPr>
        <w:t xml:space="preserve"> Streptomyces </w:t>
      </w:r>
      <w:proofErr w:type="spellStart"/>
      <w:r w:rsidRPr="007B062C">
        <w:rPr>
          <w:i/>
          <w:iCs/>
        </w:rPr>
        <w:t>hygroscopicus</w:t>
      </w:r>
      <w:proofErr w:type="spellEnd"/>
      <w:r w:rsidRPr="007B062C">
        <w:t xml:space="preserve">. The gene encodes the </w:t>
      </w:r>
      <w:proofErr w:type="spellStart"/>
      <w:r w:rsidRPr="007B062C">
        <w:t>phosphinothricin</w:t>
      </w:r>
      <w:proofErr w:type="spellEnd"/>
      <w:r w:rsidRPr="007B062C">
        <w:t xml:space="preserve"> acetyltransferase (PAT) protein. The PAT protein provides tolerance to </w:t>
      </w:r>
      <w:proofErr w:type="spellStart"/>
      <w:r w:rsidRPr="007B062C">
        <w:t>glufosinate</w:t>
      </w:r>
      <w:proofErr w:type="spellEnd"/>
      <w:r w:rsidRPr="007B062C">
        <w:t xml:space="preserve"> ammonium, the active ingredient in the herbicide Liberty</w:t>
      </w:r>
      <w:r w:rsidRPr="007B062C">
        <w:rPr>
          <w:vertAlign w:val="superscript"/>
        </w:rPr>
        <w:t>®</w:t>
      </w:r>
      <w:r w:rsidRPr="007B062C">
        <w:t xml:space="preserve">. This enables the herbicide to </w:t>
      </w:r>
      <w:proofErr w:type="gramStart"/>
      <w:r w:rsidRPr="007B062C">
        <w:t>be applied</w:t>
      </w:r>
      <w:proofErr w:type="gramEnd"/>
      <w:r w:rsidRPr="007B062C">
        <w:t xml:space="preserve"> for weed control in the GM cotton crop and provides an additional option for incorporation into integrated weed management </w:t>
      </w:r>
      <w:proofErr w:type="spellStart"/>
      <w:r w:rsidRPr="007B062C">
        <w:t>stategies</w:t>
      </w:r>
      <w:proofErr w:type="spellEnd"/>
      <w:r w:rsidRPr="007B062C">
        <w:t xml:space="preserve">. </w:t>
      </w:r>
    </w:p>
    <w:p w:rsidR="00846D71" w:rsidRPr="007B062C" w:rsidRDefault="00846D71" w:rsidP="00846D71">
      <w:pPr>
        <w:pStyle w:val="PARA"/>
        <w:numPr>
          <w:ilvl w:val="0"/>
          <w:numId w:val="0"/>
        </w:numPr>
      </w:pPr>
      <w:proofErr w:type="gramStart"/>
      <w:r w:rsidRPr="007B062C">
        <w:t>More detailed information on the GMOs, the introduced genes and their products</w:t>
      </w:r>
      <w:proofErr w:type="gramEnd"/>
      <w:r w:rsidRPr="007B062C">
        <w:t xml:space="preserve"> is provided in Chapter 1.</w:t>
      </w:r>
    </w:p>
    <w:p w:rsidR="00846D71" w:rsidRPr="007B062C" w:rsidRDefault="00846D71" w:rsidP="00846D71">
      <w:pPr>
        <w:pStyle w:val="PARA"/>
        <w:numPr>
          <w:ilvl w:val="0"/>
          <w:numId w:val="0"/>
        </w:numPr>
      </w:pPr>
      <w:bookmarkStart w:id="22" w:name="_Toc112063946"/>
      <w:bookmarkStart w:id="23" w:name="_Toc112728218"/>
      <w:bookmarkStart w:id="24" w:name="_Toc121209897"/>
      <w:r w:rsidRPr="007B062C">
        <w:t>The GM cotton proposed for release has previously been approved (described as Liberty</w:t>
      </w:r>
      <w:r w:rsidRPr="007B062C">
        <w:rPr>
          <w:vertAlign w:val="superscript"/>
        </w:rPr>
        <w:t xml:space="preserve">® </w:t>
      </w:r>
      <w:r w:rsidRPr="007B062C">
        <w:t>or LLCotton25) for limited and controlled releases under DIR licences 015/2002, 038/2003 and 056/2004.</w:t>
      </w:r>
      <w:r w:rsidRPr="007B062C" w:rsidDel="00592677">
        <w:t xml:space="preserve"> </w:t>
      </w:r>
    </w:p>
    <w:p w:rsidR="00846D71" w:rsidRPr="007B062C" w:rsidRDefault="00846D71" w:rsidP="00846D71">
      <w:pPr>
        <w:pStyle w:val="PARA"/>
        <w:numPr>
          <w:ilvl w:val="0"/>
          <w:numId w:val="0"/>
        </w:numPr>
      </w:pPr>
      <w:r w:rsidRPr="007B062C">
        <w:t xml:space="preserve">The applicant requests approval for commercial scale cultivation without containment measures, and the use of the GM cotton plants and their by-products in the same manner as non-GM or other commercially approved GM cotton. This would include conventional breeding with elite, non-GM cotton to produce varieties suitable for use under Australian </w:t>
      </w:r>
      <w:r w:rsidRPr="007B062C">
        <w:lastRenderedPageBreak/>
        <w:t xml:space="preserve">conditions, sale of seed for commercial planting, use in human food and stockfeed, sale of lint, export of seed and unrestricted transport anywhere in Australia. </w:t>
      </w:r>
    </w:p>
    <w:p w:rsidR="00846D71" w:rsidRPr="007B062C" w:rsidRDefault="00846D71" w:rsidP="00846D71">
      <w:pPr>
        <w:pStyle w:val="PARA"/>
        <w:numPr>
          <w:ilvl w:val="0"/>
          <w:numId w:val="0"/>
        </w:numPr>
      </w:pPr>
      <w:r w:rsidRPr="007B062C">
        <w:t xml:space="preserve">The company anticipates a phased introduction over three years, involving </w:t>
      </w:r>
      <w:proofErr w:type="gramStart"/>
      <w:r w:rsidRPr="007B062C">
        <w:t>large scale</w:t>
      </w:r>
      <w:proofErr w:type="gramEnd"/>
      <w:r w:rsidRPr="007B062C">
        <w:t xml:space="preserve"> grower evaluations and seed increases, and the development of additional lines adapted for particular regional conditions. </w:t>
      </w:r>
      <w:proofErr w:type="gramStart"/>
      <w:r w:rsidRPr="007B062C">
        <w:t>The rate of uptake will be determined by market acceptance, and seed and variety availability</w:t>
      </w:r>
      <w:proofErr w:type="gramEnd"/>
      <w:r w:rsidRPr="007B062C">
        <w:t>. Bayer expects the most substantial adoption of the GM cotton to occur initially in the existing cotton growing regions of New South Wales (NSW) and Queensland (QLD), followed by uptake in other areas where environmental conditions are suitable for cotton cultivation. Potential future cotton growing regions, as identified by the applicant, include additional parts of NSW and QLD, some areas of the Northern Territory (NT) and northern Western Australia (</w:t>
      </w:r>
      <w:proofErr w:type="gramStart"/>
      <w:r w:rsidRPr="007B062C">
        <w:t>WA),</w:t>
      </w:r>
      <w:proofErr w:type="gramEnd"/>
      <w:r w:rsidRPr="007B062C">
        <w:t xml:space="preserve"> and in South Australia (SA) and Victoria (VIC) close to the NSW border (discussed further in Chapter 1). </w:t>
      </w:r>
      <w:proofErr w:type="gramStart"/>
      <w:r w:rsidRPr="007B062C">
        <w:t>Small scale</w:t>
      </w:r>
      <w:proofErr w:type="gramEnd"/>
      <w:r w:rsidRPr="007B062C">
        <w:t xml:space="preserve"> use for demonstrations and educational purposes is also proposed outside these areas.  </w:t>
      </w:r>
    </w:p>
    <w:p w:rsidR="00846D71" w:rsidRPr="007B062C" w:rsidRDefault="00846D71" w:rsidP="00846D71">
      <w:pPr>
        <w:pStyle w:val="PARA"/>
        <w:numPr>
          <w:ilvl w:val="0"/>
          <w:numId w:val="0"/>
        </w:numPr>
      </w:pPr>
      <w:r w:rsidRPr="007B062C">
        <w:t>Bayer has developed a Reseller and Agronomist Training and Accreditation package and a Technical and Crop Management Plan to optimise and maintain the use of its technology. These will form part of the company’s agreement with retailers and growers to purchase and handle Liberty Link</w:t>
      </w:r>
      <w:r w:rsidRPr="007B062C">
        <w:rPr>
          <w:vertAlign w:val="superscript"/>
        </w:rPr>
        <w:t>®</w:t>
      </w:r>
      <w:r w:rsidRPr="007B062C">
        <w:t xml:space="preserve"> Cotton.</w:t>
      </w:r>
    </w:p>
    <w:p w:rsidR="00846D71" w:rsidRPr="007B062C" w:rsidRDefault="00846D71" w:rsidP="00846D71">
      <w:pPr>
        <w:pStyle w:val="Heading2"/>
        <w:tabs>
          <w:tab w:val="left" w:pos="1701"/>
        </w:tabs>
      </w:pPr>
      <w:bookmarkStart w:id="25" w:name="_Toc135718532"/>
      <w:bookmarkStart w:id="26" w:name="_Toc136159906"/>
      <w:bookmarkStart w:id="27" w:name="_Toc136343732"/>
      <w:bookmarkStart w:id="28" w:name="_Toc141236854"/>
      <w:r w:rsidRPr="007B062C">
        <w:t>Section 2</w:t>
      </w:r>
      <w:r w:rsidRPr="007B062C">
        <w:tab/>
        <w:t>Risk assessment</w:t>
      </w:r>
      <w:bookmarkEnd w:id="22"/>
      <w:bookmarkEnd w:id="23"/>
      <w:bookmarkEnd w:id="24"/>
      <w:bookmarkEnd w:id="25"/>
      <w:bookmarkEnd w:id="26"/>
      <w:bookmarkEnd w:id="27"/>
      <w:bookmarkEnd w:id="28"/>
    </w:p>
    <w:p w:rsidR="00846D71" w:rsidRPr="007B062C" w:rsidRDefault="00846D71" w:rsidP="00846D71">
      <w:pPr>
        <w:pStyle w:val="PARA"/>
        <w:numPr>
          <w:ilvl w:val="0"/>
          <w:numId w:val="0"/>
        </w:numPr>
      </w:pPr>
      <w:proofErr w:type="gramStart"/>
      <w:r w:rsidRPr="007B062C">
        <w:t>The risk assessment considered information contained in the application, previous GM cotton assessments, current scientific knowledge, and issues relating to risks to human health and safety and the environment raised in submissions received during consultation with a wide range of prescribed experts, agencies and authorities on the application, including all local government authorities in Australia (summarised in Appendix B)</w:t>
      </w:r>
      <w:r>
        <w:t>,</w:t>
      </w:r>
      <w:r w:rsidRPr="007B062C">
        <w:t xml:space="preserve"> and on the RARMP (see Appendix D).</w:t>
      </w:r>
      <w:proofErr w:type="gramEnd"/>
    </w:p>
    <w:p w:rsidR="00846D71" w:rsidRPr="007B062C" w:rsidRDefault="00846D71" w:rsidP="00846D71">
      <w:pPr>
        <w:pStyle w:val="PARA"/>
        <w:numPr>
          <w:ilvl w:val="0"/>
          <w:numId w:val="0"/>
        </w:numPr>
      </w:pPr>
      <w:r>
        <w:t>Similarly, a</w:t>
      </w:r>
      <w:r w:rsidRPr="007B062C">
        <w:t xml:space="preserve">dvice received from the public on the application and from consultation on the RARMP </w:t>
      </w:r>
      <w:r>
        <w:t xml:space="preserve">and how it </w:t>
      </w:r>
      <w:proofErr w:type="gramStart"/>
      <w:r>
        <w:t>was considered</w:t>
      </w:r>
      <w:proofErr w:type="gramEnd"/>
      <w:r>
        <w:t xml:space="preserve"> </w:t>
      </w:r>
      <w:r w:rsidRPr="007B062C">
        <w:t>is summarised in Appendices C and E, respectively.</w:t>
      </w:r>
    </w:p>
    <w:p w:rsidR="00846D71" w:rsidRPr="007B062C" w:rsidRDefault="00846D71" w:rsidP="00846D71">
      <w:pPr>
        <w:pStyle w:val="PARA"/>
        <w:numPr>
          <w:ilvl w:val="0"/>
          <w:numId w:val="0"/>
        </w:numPr>
      </w:pPr>
      <w:r w:rsidRPr="007B062C">
        <w:t xml:space="preserve">The risk assessment first considered what harm to the health and safety of people or the environment could arise due to gene technology, and how it could happen during this release of GMOs into the environment (hazard identification), in comparison to non-GM and commercially released GM cotton and in the context of the proposed release area. </w:t>
      </w:r>
    </w:p>
    <w:p w:rsidR="00846D71" w:rsidRPr="007B062C" w:rsidRDefault="00846D71" w:rsidP="00846D71">
      <w:pPr>
        <w:pStyle w:val="PARA"/>
        <w:numPr>
          <w:ilvl w:val="0"/>
          <w:numId w:val="0"/>
        </w:numPr>
      </w:pPr>
      <w:r w:rsidRPr="007B062C">
        <w:t>A hazard (source of potential harm) may be an event, substance or organism (OGTR 2005). The hazard identification process resulted in the compilation of a list of 28 events that describe sets of circumstances (events) by which the proposed release could potentially give rise to adverse outcomes.</w:t>
      </w:r>
    </w:p>
    <w:p w:rsidR="00846D71" w:rsidRPr="007B062C" w:rsidRDefault="00846D71" w:rsidP="00846D71">
      <w:pPr>
        <w:pStyle w:val="PARA"/>
        <w:numPr>
          <w:ilvl w:val="0"/>
          <w:numId w:val="0"/>
        </w:numPr>
      </w:pPr>
      <w:r w:rsidRPr="007B062C">
        <w:t xml:space="preserve">A risk </w:t>
      </w:r>
      <w:proofErr w:type="gramStart"/>
      <w:r w:rsidRPr="007B062C">
        <w:t>is identified</w:t>
      </w:r>
      <w:proofErr w:type="gramEnd"/>
      <w:r w:rsidRPr="007B062C">
        <w:t xml:space="preserve"> when a hazard is considered to have some chance of causing harm to people and/or the environment. Those events that do not lead to an adverse outcome, or could not reasonably occur, do not advance in the risk assessment process. The events that are considered to have the potential to lead to adverse outcomes are assessed further to determine the seriousness of harm (consequence) that could result and how likely it is that the harm would occur. The level of risk </w:t>
      </w:r>
      <w:proofErr w:type="gramStart"/>
      <w:r w:rsidRPr="007B062C">
        <w:t>is then estimated</w:t>
      </w:r>
      <w:proofErr w:type="gramEnd"/>
      <w:r w:rsidRPr="007B062C">
        <w:t xml:space="preserve"> using the </w:t>
      </w:r>
      <w:r w:rsidRPr="007B062C">
        <w:rPr>
          <w:i/>
          <w:iCs/>
        </w:rPr>
        <w:t>Risk Estimate Matrix</w:t>
      </w:r>
      <w:r w:rsidRPr="007B062C">
        <w:t xml:space="preserve"> (see below and Chapter 2). </w:t>
      </w:r>
    </w:p>
    <w:p w:rsidR="00846D71" w:rsidRPr="007B062C" w:rsidRDefault="00846D71" w:rsidP="00846D71">
      <w:pPr>
        <w:rPr>
          <w:sz w:val="20"/>
          <w:szCs w:val="20"/>
        </w:rPr>
      </w:pPr>
      <w:r>
        <w:rPr>
          <w:noProof/>
          <w:lang w:eastAsia="en-AU"/>
        </w:rPr>
        <w:lastRenderedPageBreak/>
        <w:drawing>
          <wp:inline distT="0" distB="0" distL="0" distR="0">
            <wp:extent cx="5947410" cy="2298065"/>
            <wp:effectExtent l="0" t="0" r="0" b="6985"/>
            <wp:docPr id="3" name="Picture 1" descr="Risk Estimate Matrix" title="Risk Estimate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7410" cy="2298065"/>
                    </a:xfrm>
                    <a:prstGeom prst="rect">
                      <a:avLst/>
                    </a:prstGeom>
                    <a:noFill/>
                    <a:ln>
                      <a:noFill/>
                    </a:ln>
                  </pic:spPr>
                </pic:pic>
              </a:graphicData>
            </a:graphic>
          </wp:inline>
        </w:drawing>
      </w:r>
    </w:p>
    <w:p w:rsidR="00846D71" w:rsidRPr="007B062C" w:rsidRDefault="00846D71" w:rsidP="00846D71">
      <w:pPr>
        <w:pStyle w:val="BlockTextPlain"/>
        <w:spacing w:before="60"/>
        <w:rPr>
          <w:sz w:val="20"/>
          <w:szCs w:val="20"/>
        </w:rPr>
      </w:pPr>
      <w:r w:rsidRPr="007B062C">
        <w:rPr>
          <w:b/>
          <w:bCs/>
          <w:sz w:val="20"/>
          <w:szCs w:val="20"/>
        </w:rPr>
        <w:t>Risk Estimate Matrix</w:t>
      </w:r>
      <w:r w:rsidRPr="007B062C">
        <w:rPr>
          <w:sz w:val="20"/>
          <w:szCs w:val="20"/>
        </w:rPr>
        <w:t xml:space="preserve">: A </w:t>
      </w:r>
      <w:r w:rsidRPr="007B062C">
        <w:rPr>
          <w:i/>
          <w:iCs/>
          <w:sz w:val="20"/>
          <w:szCs w:val="20"/>
        </w:rPr>
        <w:t>negligible</w:t>
      </w:r>
      <w:r w:rsidRPr="007B062C">
        <w:rPr>
          <w:sz w:val="20"/>
          <w:szCs w:val="20"/>
        </w:rPr>
        <w:t xml:space="preserve"> risk is considered </w:t>
      </w:r>
      <w:proofErr w:type="gramStart"/>
      <w:r w:rsidRPr="007B062C">
        <w:rPr>
          <w:sz w:val="20"/>
          <w:szCs w:val="20"/>
        </w:rPr>
        <w:t>to be insubstantial</w:t>
      </w:r>
      <w:proofErr w:type="gramEnd"/>
      <w:r w:rsidRPr="007B062C">
        <w:rPr>
          <w:sz w:val="20"/>
          <w:szCs w:val="20"/>
        </w:rPr>
        <w:t xml:space="preserve"> with no present need to invoke actions for mitigation. A </w:t>
      </w:r>
      <w:r w:rsidRPr="007B062C">
        <w:rPr>
          <w:i/>
          <w:iCs/>
          <w:sz w:val="20"/>
          <w:szCs w:val="20"/>
        </w:rPr>
        <w:t>low</w:t>
      </w:r>
      <w:r w:rsidRPr="007B062C">
        <w:rPr>
          <w:sz w:val="20"/>
          <w:szCs w:val="20"/>
        </w:rPr>
        <w:t xml:space="preserve"> risk is considered </w:t>
      </w:r>
      <w:proofErr w:type="gramStart"/>
      <w:r w:rsidRPr="007B062C">
        <w:rPr>
          <w:sz w:val="20"/>
          <w:szCs w:val="20"/>
        </w:rPr>
        <w:t>to be minimal</w:t>
      </w:r>
      <w:proofErr w:type="gramEnd"/>
      <w:r w:rsidRPr="007B062C">
        <w:rPr>
          <w:sz w:val="20"/>
          <w:szCs w:val="20"/>
        </w:rPr>
        <w:t xml:space="preserve"> but may invoke actions for mitigation beyond normal practices. A </w:t>
      </w:r>
      <w:r w:rsidRPr="007B062C">
        <w:rPr>
          <w:i/>
          <w:iCs/>
          <w:sz w:val="20"/>
          <w:szCs w:val="20"/>
        </w:rPr>
        <w:t>moderate</w:t>
      </w:r>
      <w:r w:rsidRPr="007B062C">
        <w:rPr>
          <w:sz w:val="20"/>
          <w:szCs w:val="20"/>
        </w:rPr>
        <w:t xml:space="preserve"> risk </w:t>
      </w:r>
      <w:proofErr w:type="gramStart"/>
      <w:r w:rsidRPr="007B062C">
        <w:rPr>
          <w:sz w:val="20"/>
          <w:szCs w:val="20"/>
        </w:rPr>
        <w:t>is considered</w:t>
      </w:r>
      <w:proofErr w:type="gramEnd"/>
      <w:r w:rsidRPr="007B062C">
        <w:rPr>
          <w:sz w:val="20"/>
          <w:szCs w:val="20"/>
        </w:rPr>
        <w:t xml:space="preserve"> to be of marked concern that will necessitate actions for mitigation that need to be demonstrated as effective. A </w:t>
      </w:r>
      <w:r w:rsidRPr="007B062C">
        <w:rPr>
          <w:i/>
          <w:iCs/>
          <w:sz w:val="20"/>
          <w:szCs w:val="20"/>
        </w:rPr>
        <w:t>high</w:t>
      </w:r>
      <w:r w:rsidRPr="007B062C">
        <w:rPr>
          <w:sz w:val="20"/>
          <w:szCs w:val="20"/>
        </w:rPr>
        <w:t xml:space="preserve"> risk is considered </w:t>
      </w:r>
      <w:proofErr w:type="gramStart"/>
      <w:r w:rsidRPr="007B062C">
        <w:rPr>
          <w:sz w:val="20"/>
          <w:szCs w:val="20"/>
        </w:rPr>
        <w:t>to be unacceptable</w:t>
      </w:r>
      <w:proofErr w:type="gramEnd"/>
      <w:r w:rsidRPr="007B062C">
        <w:rPr>
          <w:sz w:val="20"/>
          <w:szCs w:val="20"/>
        </w:rPr>
        <w:t xml:space="preserve"> unless actions for mitigation are highly feasible and effective.</w:t>
      </w:r>
    </w:p>
    <w:p w:rsidR="00846D71" w:rsidRPr="007B062C" w:rsidRDefault="00846D71" w:rsidP="00846D71">
      <w:pPr>
        <w:pStyle w:val="PARA"/>
        <w:numPr>
          <w:ilvl w:val="0"/>
          <w:numId w:val="0"/>
        </w:numPr>
      </w:pPr>
      <w:r w:rsidRPr="007B062C">
        <w:t xml:space="preserve">Three of the 28 events characterised in the hazard identification process for the proposed release </w:t>
      </w:r>
      <w:proofErr w:type="gramStart"/>
      <w:r w:rsidRPr="007B062C">
        <w:t>were identified</w:t>
      </w:r>
      <w:proofErr w:type="gramEnd"/>
      <w:r w:rsidRPr="007B062C">
        <w:t xml:space="preserve"> as requiring further assessment. The potential adverse outcome associated with these events was increased spread and persistence (weediness). This identified risk </w:t>
      </w:r>
      <w:proofErr w:type="gramStart"/>
      <w:r w:rsidRPr="007B062C">
        <w:t>was assessed</w:t>
      </w:r>
      <w:proofErr w:type="gramEnd"/>
      <w:r w:rsidRPr="007B062C">
        <w:t xml:space="preserve"> in comparison to the parent organism and other GM cotton lines previously approved for commercial release, in the context of the intended agronomic management practices, and the environmental conditions in the regions where the proposed release might occur.</w:t>
      </w:r>
    </w:p>
    <w:p w:rsidR="00846D71" w:rsidRPr="007B062C" w:rsidRDefault="00846D71" w:rsidP="00846D71">
      <w:pPr>
        <w:pStyle w:val="PARA"/>
        <w:numPr>
          <w:ilvl w:val="0"/>
          <w:numId w:val="0"/>
        </w:numPr>
      </w:pPr>
      <w:r w:rsidRPr="007B062C">
        <w:t xml:space="preserve">The consequence and likelihood assessments used to derive risk estimates for these three events are summarised in Table 1 (the detailed risk assessments are in Chapter 3). More information on the remaining 25 events that </w:t>
      </w:r>
      <w:proofErr w:type="gramStart"/>
      <w:r w:rsidRPr="007B062C">
        <w:t>were considered</w:t>
      </w:r>
      <w:proofErr w:type="gramEnd"/>
      <w:r w:rsidRPr="007B062C">
        <w:t xml:space="preserve"> not to give rise to an identified risk is provided in Chapter 2. </w:t>
      </w:r>
    </w:p>
    <w:p w:rsidR="00846D71" w:rsidRPr="007B062C" w:rsidRDefault="00846D71" w:rsidP="00846D71">
      <w:pPr>
        <w:pStyle w:val="PARA"/>
        <w:numPr>
          <w:ilvl w:val="0"/>
          <w:numId w:val="0"/>
        </w:numPr>
      </w:pPr>
      <w:r w:rsidRPr="007B062C">
        <w:t xml:space="preserve">If a risk </w:t>
      </w:r>
      <w:proofErr w:type="gramStart"/>
      <w:r w:rsidRPr="007B062C">
        <w:t>is estimated</w:t>
      </w:r>
      <w:proofErr w:type="gramEnd"/>
      <w:r w:rsidRPr="007B062C">
        <w:t xml:space="preserve"> to be higher than negligible, risk treatment measures may be required to protect the health and safety of people or the environment. </w:t>
      </w:r>
    </w:p>
    <w:p w:rsidR="00846D71" w:rsidRPr="007B062C" w:rsidRDefault="00846D71" w:rsidP="00846D71">
      <w:pPr>
        <w:keepNext/>
        <w:spacing w:before="120" w:after="120" w:line="240" w:lineRule="atLeast"/>
        <w:rPr>
          <w:b/>
          <w:bCs/>
        </w:rPr>
      </w:pPr>
      <w:r w:rsidRPr="007B062C">
        <w:rPr>
          <w:b/>
          <w:bCs/>
        </w:rPr>
        <w:lastRenderedPageBreak/>
        <w:t xml:space="preserve">Table </w:t>
      </w:r>
      <w:proofErr w:type="gramStart"/>
      <w:r w:rsidRPr="007B062C">
        <w:rPr>
          <w:b/>
          <w:bCs/>
        </w:rPr>
        <w:t>1</w:t>
      </w:r>
      <w:proofErr w:type="gramEnd"/>
      <w:r w:rsidRPr="007B062C">
        <w:rPr>
          <w:b/>
          <w:bCs/>
        </w:rPr>
        <w:tab/>
        <w:t>Summary table for the risk assessment</w:t>
      </w:r>
    </w:p>
    <w:tbl>
      <w:tblPr>
        <w:tblStyle w:val="TableGrid"/>
        <w:tblW w:w="10440" w:type="dxa"/>
        <w:tblInd w:w="-432" w:type="dxa"/>
        <w:tblLook w:val="01E0" w:firstRow="1" w:lastRow="1" w:firstColumn="1" w:lastColumn="1" w:noHBand="0" w:noVBand="0"/>
        <w:tblDescription w:val="This table consists of five columns; Event that may give rise to weediness, consequence assessment, likelihood assessment, risk estimate and does risk require treatment?"/>
      </w:tblPr>
      <w:tblGrid>
        <w:gridCol w:w="1980"/>
        <w:gridCol w:w="2700"/>
        <w:gridCol w:w="3536"/>
        <w:gridCol w:w="1077"/>
        <w:gridCol w:w="1147"/>
      </w:tblGrid>
      <w:tr w:rsidR="00846D71" w:rsidRPr="007B062C" w:rsidTr="006D6A5C">
        <w:trPr>
          <w:cantSplit/>
          <w:tblHeader/>
        </w:trPr>
        <w:tc>
          <w:tcPr>
            <w:tcW w:w="1980" w:type="dxa"/>
            <w:shd w:val="clear" w:color="auto" w:fill="CCCCCC"/>
          </w:tcPr>
          <w:p w:rsidR="00846D71" w:rsidRPr="007B062C" w:rsidRDefault="00846D71" w:rsidP="006D6A5C">
            <w:pPr>
              <w:keepNext/>
              <w:spacing w:line="240" w:lineRule="atLeast"/>
              <w:jc w:val="center"/>
              <w:rPr>
                <w:rFonts w:ascii="Arial" w:hAnsi="Arial" w:cs="Arial"/>
                <w:b/>
                <w:bCs/>
                <w:sz w:val="18"/>
                <w:szCs w:val="18"/>
              </w:rPr>
            </w:pPr>
            <w:bookmarkStart w:id="29" w:name="_Toc121209898"/>
            <w:bookmarkStart w:id="30" w:name="_Toc135718533"/>
            <w:bookmarkStart w:id="31" w:name="_Toc136159907"/>
            <w:bookmarkStart w:id="32" w:name="_Toc136343733"/>
            <w:r w:rsidRPr="007B062C">
              <w:rPr>
                <w:rFonts w:ascii="Arial" w:hAnsi="Arial" w:cs="Arial"/>
                <w:b/>
                <w:bCs/>
                <w:sz w:val="18"/>
                <w:szCs w:val="18"/>
              </w:rPr>
              <w:t xml:space="preserve">Event that may give rise to weediness </w:t>
            </w:r>
          </w:p>
        </w:tc>
        <w:tc>
          <w:tcPr>
            <w:tcW w:w="2700" w:type="dxa"/>
            <w:shd w:val="clear" w:color="auto" w:fill="CCCCCC"/>
          </w:tcPr>
          <w:p w:rsidR="00846D71" w:rsidRPr="007B062C" w:rsidRDefault="00846D71" w:rsidP="006D6A5C">
            <w:pPr>
              <w:keepNext/>
              <w:spacing w:line="240" w:lineRule="atLeast"/>
              <w:jc w:val="center"/>
              <w:rPr>
                <w:rFonts w:ascii="Arial" w:hAnsi="Arial" w:cs="Arial"/>
                <w:b/>
                <w:bCs/>
                <w:sz w:val="18"/>
                <w:szCs w:val="18"/>
              </w:rPr>
            </w:pPr>
            <w:r w:rsidRPr="007B062C">
              <w:rPr>
                <w:rFonts w:ascii="Arial" w:hAnsi="Arial" w:cs="Arial"/>
                <w:b/>
                <w:bCs/>
                <w:sz w:val="18"/>
                <w:szCs w:val="18"/>
              </w:rPr>
              <w:t>Consequence assessment</w:t>
            </w:r>
          </w:p>
        </w:tc>
        <w:tc>
          <w:tcPr>
            <w:tcW w:w="3536" w:type="dxa"/>
            <w:shd w:val="clear" w:color="auto" w:fill="CCCCCC"/>
          </w:tcPr>
          <w:p w:rsidR="00846D71" w:rsidRPr="007B062C" w:rsidRDefault="00846D71" w:rsidP="006D6A5C">
            <w:pPr>
              <w:keepNext/>
              <w:spacing w:line="240" w:lineRule="atLeast"/>
              <w:jc w:val="center"/>
              <w:rPr>
                <w:rFonts w:ascii="Arial" w:hAnsi="Arial" w:cs="Arial"/>
                <w:b/>
                <w:bCs/>
                <w:sz w:val="18"/>
                <w:szCs w:val="18"/>
              </w:rPr>
            </w:pPr>
            <w:r w:rsidRPr="007B062C">
              <w:rPr>
                <w:rFonts w:ascii="Arial" w:hAnsi="Arial" w:cs="Arial"/>
                <w:b/>
                <w:bCs/>
                <w:sz w:val="18"/>
                <w:szCs w:val="18"/>
              </w:rPr>
              <w:t>Likelihood assessment</w:t>
            </w:r>
          </w:p>
        </w:tc>
        <w:tc>
          <w:tcPr>
            <w:tcW w:w="1077" w:type="dxa"/>
            <w:shd w:val="clear" w:color="auto" w:fill="CCCCCC"/>
          </w:tcPr>
          <w:p w:rsidR="00846D71" w:rsidRPr="007B062C" w:rsidRDefault="00846D71" w:rsidP="006D6A5C">
            <w:pPr>
              <w:keepNext/>
              <w:spacing w:line="240" w:lineRule="atLeast"/>
              <w:jc w:val="center"/>
              <w:rPr>
                <w:rFonts w:ascii="Arial" w:hAnsi="Arial" w:cs="Arial"/>
                <w:b/>
                <w:bCs/>
                <w:sz w:val="18"/>
                <w:szCs w:val="18"/>
              </w:rPr>
            </w:pPr>
            <w:r w:rsidRPr="007B062C">
              <w:rPr>
                <w:rFonts w:ascii="Arial" w:hAnsi="Arial" w:cs="Arial"/>
                <w:b/>
                <w:bCs/>
                <w:sz w:val="18"/>
                <w:szCs w:val="18"/>
              </w:rPr>
              <w:t>Risk estimate</w:t>
            </w:r>
          </w:p>
        </w:tc>
        <w:tc>
          <w:tcPr>
            <w:tcW w:w="1147" w:type="dxa"/>
            <w:shd w:val="clear" w:color="auto" w:fill="CCCCCC"/>
          </w:tcPr>
          <w:p w:rsidR="00846D71" w:rsidRPr="007B062C" w:rsidRDefault="00846D71" w:rsidP="006D6A5C">
            <w:pPr>
              <w:keepNext/>
              <w:spacing w:line="240" w:lineRule="atLeast"/>
              <w:jc w:val="center"/>
              <w:rPr>
                <w:rFonts w:ascii="Arial" w:hAnsi="Arial" w:cs="Arial"/>
                <w:b/>
                <w:bCs/>
                <w:sz w:val="18"/>
                <w:szCs w:val="18"/>
              </w:rPr>
            </w:pPr>
            <w:r w:rsidRPr="007B062C">
              <w:rPr>
                <w:rFonts w:ascii="Arial" w:hAnsi="Arial" w:cs="Arial"/>
                <w:b/>
                <w:bCs/>
                <w:sz w:val="18"/>
                <w:szCs w:val="18"/>
              </w:rPr>
              <w:t>Does risk require treatment?</w:t>
            </w:r>
          </w:p>
        </w:tc>
      </w:tr>
      <w:tr w:rsidR="00846D71" w:rsidRPr="007B062C" w:rsidTr="006D6A5C">
        <w:trPr>
          <w:cantSplit/>
          <w:trHeight w:val="1234"/>
        </w:trPr>
        <w:tc>
          <w:tcPr>
            <w:tcW w:w="1980" w:type="dxa"/>
          </w:tcPr>
          <w:p w:rsidR="00846D71" w:rsidRPr="007B062C" w:rsidRDefault="00846D71" w:rsidP="006D6A5C">
            <w:pPr>
              <w:spacing w:line="240" w:lineRule="atLeast"/>
              <w:rPr>
                <w:rFonts w:ascii="Arial" w:hAnsi="Arial" w:cs="Arial"/>
                <w:b/>
                <w:bCs/>
                <w:sz w:val="18"/>
                <w:szCs w:val="18"/>
              </w:rPr>
            </w:pPr>
            <w:r w:rsidRPr="007B062C">
              <w:rPr>
                <w:rFonts w:ascii="Arial" w:hAnsi="Arial" w:cs="Arial"/>
                <w:b/>
                <w:bCs/>
                <w:sz w:val="18"/>
                <w:szCs w:val="18"/>
              </w:rPr>
              <w:t>Event 1</w:t>
            </w:r>
          </w:p>
          <w:p w:rsidR="00846D71" w:rsidRPr="007B062C" w:rsidRDefault="00846D71" w:rsidP="006D6A5C">
            <w:pPr>
              <w:spacing w:line="240" w:lineRule="atLeast"/>
              <w:rPr>
                <w:rFonts w:ascii="Arial" w:hAnsi="Arial" w:cs="Arial"/>
                <w:sz w:val="18"/>
                <w:szCs w:val="18"/>
              </w:rPr>
            </w:pPr>
            <w:r w:rsidRPr="007B062C">
              <w:rPr>
                <w:rFonts w:ascii="Arial" w:hAnsi="Arial" w:cs="Arial"/>
                <w:sz w:val="18"/>
                <w:szCs w:val="18"/>
              </w:rPr>
              <w:t xml:space="preserve">Expression of the </w:t>
            </w:r>
            <w:r w:rsidRPr="007B062C">
              <w:rPr>
                <w:rFonts w:ascii="Arial" w:hAnsi="Arial" w:cs="Arial"/>
                <w:i/>
                <w:iCs/>
                <w:sz w:val="18"/>
                <w:szCs w:val="18"/>
              </w:rPr>
              <w:t>bar</w:t>
            </w:r>
            <w:r w:rsidRPr="007B062C">
              <w:rPr>
                <w:rFonts w:ascii="Arial" w:hAnsi="Arial" w:cs="Arial"/>
                <w:sz w:val="18"/>
                <w:szCs w:val="18"/>
              </w:rPr>
              <w:t xml:space="preserve"> gene increasing spread and persistence of the GM cotton plants through tolerance to </w:t>
            </w:r>
            <w:proofErr w:type="spellStart"/>
            <w:r w:rsidRPr="007B062C">
              <w:rPr>
                <w:rFonts w:ascii="Arial" w:hAnsi="Arial" w:cs="Arial"/>
                <w:sz w:val="18"/>
                <w:szCs w:val="18"/>
              </w:rPr>
              <w:t>glufosinate</w:t>
            </w:r>
            <w:proofErr w:type="spellEnd"/>
            <w:r w:rsidRPr="007B062C">
              <w:rPr>
                <w:rFonts w:ascii="Arial" w:hAnsi="Arial" w:cs="Arial"/>
                <w:sz w:val="18"/>
                <w:szCs w:val="18"/>
              </w:rPr>
              <w:t xml:space="preserve"> ammonium</w:t>
            </w:r>
          </w:p>
        </w:tc>
        <w:tc>
          <w:tcPr>
            <w:tcW w:w="2700" w:type="dxa"/>
          </w:tcPr>
          <w:p w:rsidR="00846D71" w:rsidRPr="007B062C" w:rsidRDefault="00846D71" w:rsidP="006D6A5C">
            <w:pPr>
              <w:spacing w:line="240" w:lineRule="atLeast"/>
              <w:rPr>
                <w:rFonts w:ascii="Arial" w:hAnsi="Arial" w:cs="Arial"/>
                <w:sz w:val="18"/>
                <w:szCs w:val="18"/>
              </w:rPr>
            </w:pPr>
            <w:r w:rsidRPr="007B062C">
              <w:rPr>
                <w:rFonts w:ascii="Arial" w:hAnsi="Arial" w:cs="Arial"/>
                <w:b/>
                <w:bCs/>
                <w:sz w:val="18"/>
                <w:szCs w:val="18"/>
              </w:rPr>
              <w:t>Marginal</w:t>
            </w:r>
          </w:p>
          <w:p w:rsidR="00846D71" w:rsidRPr="007B062C" w:rsidRDefault="00846D71" w:rsidP="00846D71">
            <w:pPr>
              <w:widowControl w:val="0"/>
              <w:numPr>
                <w:ilvl w:val="0"/>
                <w:numId w:val="2"/>
              </w:numPr>
              <w:adjustRightInd w:val="0"/>
              <w:spacing w:after="0" w:line="240" w:lineRule="atLeast"/>
              <w:textAlignment w:val="baseline"/>
              <w:rPr>
                <w:rFonts w:ascii="Arial" w:hAnsi="Arial" w:cs="Arial"/>
                <w:sz w:val="18"/>
                <w:szCs w:val="18"/>
              </w:rPr>
            </w:pPr>
            <w:proofErr w:type="spellStart"/>
            <w:r>
              <w:rPr>
                <w:rFonts w:ascii="Arial" w:hAnsi="Arial" w:cs="Arial"/>
                <w:sz w:val="18"/>
                <w:szCs w:val="18"/>
              </w:rPr>
              <w:t>Glufosinate</w:t>
            </w:r>
            <w:proofErr w:type="spellEnd"/>
            <w:r>
              <w:rPr>
                <w:rFonts w:ascii="Arial" w:hAnsi="Arial" w:cs="Arial"/>
                <w:sz w:val="18"/>
                <w:szCs w:val="18"/>
              </w:rPr>
              <w:t xml:space="preserve"> ammonium </w:t>
            </w:r>
            <w:r w:rsidRPr="007B062C">
              <w:rPr>
                <w:rFonts w:ascii="Arial" w:hAnsi="Arial" w:cs="Arial"/>
                <w:sz w:val="18"/>
                <w:szCs w:val="18"/>
              </w:rPr>
              <w:t xml:space="preserve">is not effective for the control of </w:t>
            </w:r>
            <w:r>
              <w:rPr>
                <w:rFonts w:ascii="Arial" w:hAnsi="Arial" w:cs="Arial"/>
                <w:sz w:val="18"/>
                <w:szCs w:val="18"/>
              </w:rPr>
              <w:t xml:space="preserve">established </w:t>
            </w:r>
            <w:r w:rsidRPr="007B062C">
              <w:rPr>
                <w:rFonts w:ascii="Arial" w:hAnsi="Arial" w:cs="Arial"/>
                <w:sz w:val="18"/>
                <w:szCs w:val="18"/>
              </w:rPr>
              <w:t>cotton volunteers.</w:t>
            </w:r>
          </w:p>
          <w:p w:rsidR="00846D71" w:rsidRPr="007B062C" w:rsidRDefault="00846D71" w:rsidP="00846D71">
            <w:pPr>
              <w:widowControl w:val="0"/>
              <w:numPr>
                <w:ilvl w:val="0"/>
                <w:numId w:val="2"/>
              </w:numPr>
              <w:adjustRightInd w:val="0"/>
              <w:spacing w:after="0" w:line="240" w:lineRule="atLeast"/>
              <w:textAlignment w:val="baseline"/>
              <w:rPr>
                <w:rFonts w:ascii="Arial" w:hAnsi="Arial" w:cs="Arial"/>
                <w:i/>
                <w:iCs/>
                <w:sz w:val="18"/>
                <w:szCs w:val="18"/>
              </w:rPr>
            </w:pPr>
            <w:r>
              <w:rPr>
                <w:rFonts w:ascii="Arial" w:hAnsi="Arial" w:cs="Arial"/>
                <w:sz w:val="18"/>
                <w:szCs w:val="18"/>
              </w:rPr>
              <w:t xml:space="preserve">In the presence of </w:t>
            </w:r>
            <w:proofErr w:type="spellStart"/>
            <w:r>
              <w:rPr>
                <w:rFonts w:ascii="Arial" w:hAnsi="Arial" w:cs="Arial"/>
                <w:sz w:val="18"/>
                <w:szCs w:val="18"/>
              </w:rPr>
              <w:t>glufosinate</w:t>
            </w:r>
            <w:proofErr w:type="spellEnd"/>
            <w:r>
              <w:rPr>
                <w:rFonts w:ascii="Arial" w:hAnsi="Arial" w:cs="Arial"/>
                <w:sz w:val="18"/>
                <w:szCs w:val="18"/>
              </w:rPr>
              <w:t xml:space="preserve"> ammonium, the small competitive advantage of the GM cotton </w:t>
            </w:r>
            <w:proofErr w:type="gramStart"/>
            <w:r>
              <w:rPr>
                <w:rFonts w:ascii="Arial" w:hAnsi="Arial" w:cs="Arial"/>
                <w:sz w:val="18"/>
                <w:szCs w:val="18"/>
              </w:rPr>
              <w:t>is offset</w:t>
            </w:r>
            <w:proofErr w:type="gramEnd"/>
            <w:r>
              <w:rPr>
                <w:rFonts w:ascii="Arial" w:hAnsi="Arial" w:cs="Arial"/>
                <w:sz w:val="18"/>
                <w:szCs w:val="18"/>
              </w:rPr>
              <w:t xml:space="preserve"> by abiotic and biotic factors (</w:t>
            </w:r>
            <w:r w:rsidRPr="007B062C">
              <w:rPr>
                <w:rFonts w:ascii="Arial" w:hAnsi="Arial" w:cs="Arial"/>
                <w:sz w:val="18"/>
                <w:szCs w:val="18"/>
              </w:rPr>
              <w:t>such as water availability, temperature, soil type and nutrients</w:t>
            </w:r>
            <w:r>
              <w:rPr>
                <w:rFonts w:ascii="Arial" w:hAnsi="Arial" w:cs="Arial"/>
                <w:sz w:val="18"/>
                <w:szCs w:val="18"/>
              </w:rPr>
              <w:t>) that limit the spread and persistence of all cotton in Australia.</w:t>
            </w:r>
          </w:p>
        </w:tc>
        <w:tc>
          <w:tcPr>
            <w:tcW w:w="3536" w:type="dxa"/>
          </w:tcPr>
          <w:p w:rsidR="00846D71" w:rsidRPr="007B062C" w:rsidRDefault="00846D71" w:rsidP="006D6A5C">
            <w:pPr>
              <w:spacing w:line="240" w:lineRule="atLeast"/>
              <w:rPr>
                <w:rFonts w:ascii="Arial" w:hAnsi="Arial" w:cs="Arial"/>
                <w:b/>
                <w:bCs/>
                <w:sz w:val="18"/>
                <w:szCs w:val="18"/>
              </w:rPr>
            </w:pPr>
            <w:r w:rsidRPr="007B062C">
              <w:rPr>
                <w:rFonts w:ascii="Arial" w:hAnsi="Arial" w:cs="Arial"/>
                <w:b/>
                <w:bCs/>
                <w:sz w:val="18"/>
                <w:szCs w:val="18"/>
              </w:rPr>
              <w:t>Highly unlikely</w:t>
            </w:r>
          </w:p>
          <w:p w:rsidR="00846D71" w:rsidRPr="007B062C" w:rsidRDefault="00846D71" w:rsidP="00846D71">
            <w:pPr>
              <w:widowControl w:val="0"/>
              <w:numPr>
                <w:ilvl w:val="0"/>
                <w:numId w:val="2"/>
              </w:numPr>
              <w:adjustRightInd w:val="0"/>
              <w:spacing w:after="0" w:line="240" w:lineRule="atLeast"/>
              <w:textAlignment w:val="baseline"/>
              <w:rPr>
                <w:rFonts w:ascii="Arial" w:hAnsi="Arial" w:cs="Arial"/>
                <w:sz w:val="18"/>
                <w:szCs w:val="18"/>
              </w:rPr>
            </w:pPr>
            <w:proofErr w:type="spellStart"/>
            <w:r w:rsidRPr="007B062C">
              <w:rPr>
                <w:rFonts w:ascii="Arial" w:hAnsi="Arial" w:cs="Arial"/>
                <w:sz w:val="18"/>
                <w:szCs w:val="18"/>
              </w:rPr>
              <w:t>Glufosinate</w:t>
            </w:r>
            <w:proofErr w:type="spellEnd"/>
            <w:r w:rsidRPr="007B062C">
              <w:rPr>
                <w:rFonts w:ascii="Arial" w:hAnsi="Arial" w:cs="Arial"/>
                <w:sz w:val="18"/>
                <w:szCs w:val="18"/>
              </w:rPr>
              <w:t xml:space="preserve"> ammonium is not a widely used herbicide </w:t>
            </w:r>
            <w:r>
              <w:rPr>
                <w:rFonts w:ascii="Arial" w:hAnsi="Arial" w:cs="Arial"/>
                <w:sz w:val="18"/>
                <w:szCs w:val="18"/>
              </w:rPr>
              <w:t xml:space="preserve">for the control of cotton volunteers as other methods </w:t>
            </w:r>
            <w:proofErr w:type="gramStart"/>
            <w:r>
              <w:rPr>
                <w:rFonts w:ascii="Arial" w:hAnsi="Arial" w:cs="Arial"/>
                <w:sz w:val="18"/>
                <w:szCs w:val="18"/>
              </w:rPr>
              <w:t>are more commonly used</w:t>
            </w:r>
            <w:proofErr w:type="gramEnd"/>
            <w:r>
              <w:rPr>
                <w:rFonts w:ascii="Arial" w:hAnsi="Arial" w:cs="Arial"/>
                <w:sz w:val="18"/>
                <w:szCs w:val="18"/>
              </w:rPr>
              <w:t xml:space="preserve">, such as </w:t>
            </w:r>
            <w:r w:rsidRPr="007B062C">
              <w:rPr>
                <w:rFonts w:ascii="Arial" w:hAnsi="Arial" w:cs="Arial"/>
                <w:sz w:val="18"/>
                <w:szCs w:val="18"/>
              </w:rPr>
              <w:t>mechanical means or, if still at the seedling stage, by the use of alternative herbicides</w:t>
            </w:r>
            <w:r>
              <w:rPr>
                <w:rFonts w:ascii="Arial" w:hAnsi="Arial" w:cs="Arial"/>
                <w:sz w:val="18"/>
                <w:szCs w:val="18"/>
              </w:rPr>
              <w:t>.</w:t>
            </w:r>
          </w:p>
          <w:p w:rsidR="00846D71" w:rsidRPr="007B062C" w:rsidRDefault="00846D71" w:rsidP="00846D71">
            <w:pPr>
              <w:widowControl w:val="0"/>
              <w:numPr>
                <w:ilvl w:val="0"/>
                <w:numId w:val="2"/>
              </w:numPr>
              <w:adjustRightInd w:val="0"/>
              <w:spacing w:after="0" w:line="240" w:lineRule="atLeast"/>
              <w:textAlignment w:val="baseline"/>
              <w:rPr>
                <w:rFonts w:ascii="Arial" w:hAnsi="Arial" w:cs="Arial"/>
                <w:sz w:val="18"/>
                <w:szCs w:val="18"/>
              </w:rPr>
            </w:pPr>
            <w:r w:rsidRPr="007B062C">
              <w:rPr>
                <w:rFonts w:ascii="Arial" w:hAnsi="Arial" w:cs="Arial"/>
                <w:sz w:val="18"/>
                <w:szCs w:val="18"/>
              </w:rPr>
              <w:t>The chance of volunteer GM plants arising from unintended seed dispersal (</w:t>
            </w:r>
            <w:proofErr w:type="spellStart"/>
            <w:r w:rsidRPr="007B062C">
              <w:rPr>
                <w:rFonts w:ascii="Arial" w:hAnsi="Arial" w:cs="Arial"/>
                <w:sz w:val="18"/>
                <w:szCs w:val="18"/>
              </w:rPr>
              <w:t>eg</w:t>
            </w:r>
            <w:proofErr w:type="spellEnd"/>
            <w:r w:rsidRPr="007B062C">
              <w:rPr>
                <w:rFonts w:ascii="Arial" w:hAnsi="Arial" w:cs="Arial"/>
                <w:sz w:val="18"/>
                <w:szCs w:val="18"/>
              </w:rPr>
              <w:t xml:space="preserve"> transportation, use as stockfeed, via animals or flooding) finding suitable ecological niches and establishing as weeds would be no greater than for non-GM and commercially approved GM cotton lines.</w:t>
            </w:r>
          </w:p>
        </w:tc>
        <w:tc>
          <w:tcPr>
            <w:tcW w:w="1077" w:type="dxa"/>
          </w:tcPr>
          <w:p w:rsidR="00846D71" w:rsidRPr="007B062C" w:rsidRDefault="00846D71" w:rsidP="006D6A5C">
            <w:pPr>
              <w:spacing w:line="240" w:lineRule="atLeast"/>
              <w:jc w:val="center"/>
              <w:rPr>
                <w:rFonts w:ascii="Arial" w:hAnsi="Arial" w:cs="Arial"/>
                <w:b/>
                <w:bCs/>
                <w:sz w:val="18"/>
                <w:szCs w:val="18"/>
              </w:rPr>
            </w:pPr>
            <w:r w:rsidRPr="007B062C">
              <w:rPr>
                <w:rFonts w:ascii="Arial" w:hAnsi="Arial" w:cs="Arial"/>
                <w:b/>
                <w:bCs/>
                <w:sz w:val="18"/>
                <w:szCs w:val="18"/>
              </w:rPr>
              <w:t>Negligible</w:t>
            </w:r>
          </w:p>
        </w:tc>
        <w:tc>
          <w:tcPr>
            <w:tcW w:w="1147" w:type="dxa"/>
          </w:tcPr>
          <w:p w:rsidR="00846D71" w:rsidRPr="007B062C" w:rsidRDefault="00846D71" w:rsidP="006D6A5C">
            <w:pPr>
              <w:spacing w:line="240" w:lineRule="atLeast"/>
              <w:jc w:val="center"/>
              <w:rPr>
                <w:rFonts w:ascii="Arial" w:hAnsi="Arial" w:cs="Arial"/>
                <w:b/>
                <w:bCs/>
                <w:sz w:val="18"/>
                <w:szCs w:val="18"/>
              </w:rPr>
            </w:pPr>
            <w:r w:rsidRPr="007B062C">
              <w:rPr>
                <w:rFonts w:ascii="Arial" w:hAnsi="Arial" w:cs="Arial"/>
                <w:b/>
                <w:bCs/>
                <w:sz w:val="18"/>
                <w:szCs w:val="18"/>
              </w:rPr>
              <w:t>No</w:t>
            </w:r>
          </w:p>
        </w:tc>
      </w:tr>
      <w:tr w:rsidR="00846D71" w:rsidRPr="007B062C" w:rsidTr="006D6A5C">
        <w:trPr>
          <w:cantSplit/>
          <w:trHeight w:val="1226"/>
        </w:trPr>
        <w:tc>
          <w:tcPr>
            <w:tcW w:w="1980" w:type="dxa"/>
          </w:tcPr>
          <w:p w:rsidR="00846D71" w:rsidRPr="007B062C" w:rsidRDefault="00846D71" w:rsidP="006D6A5C">
            <w:pPr>
              <w:spacing w:line="240" w:lineRule="atLeast"/>
              <w:rPr>
                <w:rFonts w:ascii="Arial" w:hAnsi="Arial" w:cs="Arial"/>
                <w:b/>
                <w:bCs/>
                <w:sz w:val="18"/>
                <w:szCs w:val="18"/>
              </w:rPr>
            </w:pPr>
            <w:r w:rsidRPr="007B062C">
              <w:rPr>
                <w:rFonts w:ascii="Arial" w:hAnsi="Arial" w:cs="Arial"/>
                <w:b/>
                <w:bCs/>
                <w:sz w:val="18"/>
                <w:szCs w:val="18"/>
              </w:rPr>
              <w:t>Event 2</w:t>
            </w:r>
          </w:p>
          <w:p w:rsidR="00846D71" w:rsidRPr="007B062C" w:rsidRDefault="00846D71" w:rsidP="006D6A5C">
            <w:pPr>
              <w:spacing w:line="240" w:lineRule="atLeast"/>
              <w:rPr>
                <w:rFonts w:ascii="Arial" w:hAnsi="Arial" w:cs="Arial"/>
                <w:sz w:val="18"/>
                <w:szCs w:val="18"/>
              </w:rPr>
            </w:pPr>
            <w:r w:rsidRPr="007B062C">
              <w:rPr>
                <w:rFonts w:ascii="Arial" w:hAnsi="Arial" w:cs="Arial"/>
                <w:sz w:val="18"/>
                <w:szCs w:val="18"/>
              </w:rPr>
              <w:t xml:space="preserve">Expression of the </w:t>
            </w:r>
            <w:r w:rsidRPr="007B062C">
              <w:rPr>
                <w:rFonts w:ascii="Arial" w:hAnsi="Arial" w:cs="Arial"/>
                <w:i/>
                <w:iCs/>
                <w:sz w:val="18"/>
                <w:szCs w:val="18"/>
              </w:rPr>
              <w:t>bar</w:t>
            </w:r>
            <w:r w:rsidRPr="007B062C">
              <w:rPr>
                <w:rFonts w:ascii="Arial" w:hAnsi="Arial" w:cs="Arial"/>
                <w:sz w:val="18"/>
                <w:szCs w:val="18"/>
              </w:rPr>
              <w:t xml:space="preserve"> gene in other </w:t>
            </w:r>
            <w:r w:rsidRPr="007B062C">
              <w:rPr>
                <w:rFonts w:ascii="Arial" w:hAnsi="Arial" w:cs="Arial"/>
                <w:i/>
                <w:iCs/>
                <w:sz w:val="18"/>
                <w:szCs w:val="18"/>
              </w:rPr>
              <w:t>G. </w:t>
            </w:r>
            <w:proofErr w:type="spellStart"/>
            <w:r w:rsidRPr="007B062C">
              <w:rPr>
                <w:rFonts w:ascii="Arial" w:hAnsi="Arial" w:cs="Arial"/>
                <w:i/>
                <w:iCs/>
                <w:sz w:val="18"/>
                <w:szCs w:val="18"/>
              </w:rPr>
              <w:t>hirsutum</w:t>
            </w:r>
            <w:proofErr w:type="spellEnd"/>
            <w:r w:rsidRPr="007B062C">
              <w:rPr>
                <w:rFonts w:ascii="Arial" w:hAnsi="Arial" w:cs="Arial"/>
                <w:sz w:val="18"/>
                <w:szCs w:val="18"/>
              </w:rPr>
              <w:t xml:space="preserve"> or </w:t>
            </w:r>
            <w:r w:rsidRPr="007B062C">
              <w:rPr>
                <w:rFonts w:ascii="Arial" w:hAnsi="Arial" w:cs="Arial"/>
                <w:i/>
                <w:iCs/>
                <w:sz w:val="18"/>
                <w:szCs w:val="18"/>
              </w:rPr>
              <w:t>G. </w:t>
            </w:r>
            <w:proofErr w:type="spellStart"/>
            <w:r w:rsidRPr="007B062C">
              <w:rPr>
                <w:rFonts w:ascii="Arial" w:hAnsi="Arial" w:cs="Arial"/>
                <w:i/>
                <w:iCs/>
                <w:sz w:val="18"/>
                <w:szCs w:val="18"/>
              </w:rPr>
              <w:t>barbadense</w:t>
            </w:r>
            <w:proofErr w:type="spellEnd"/>
            <w:r w:rsidRPr="007B062C">
              <w:rPr>
                <w:rFonts w:ascii="Arial" w:hAnsi="Arial" w:cs="Arial"/>
                <w:sz w:val="18"/>
                <w:szCs w:val="18"/>
              </w:rPr>
              <w:t xml:space="preserve"> cotton plants (not including commercially released GM cotton lines) providing </w:t>
            </w:r>
            <w:proofErr w:type="spellStart"/>
            <w:r w:rsidRPr="007B062C">
              <w:rPr>
                <w:rFonts w:ascii="Arial" w:hAnsi="Arial" w:cs="Arial"/>
                <w:sz w:val="18"/>
                <w:szCs w:val="18"/>
              </w:rPr>
              <w:t>glufosinate</w:t>
            </w:r>
            <w:proofErr w:type="spellEnd"/>
            <w:r w:rsidRPr="007B062C">
              <w:rPr>
                <w:rFonts w:ascii="Arial" w:hAnsi="Arial" w:cs="Arial"/>
                <w:sz w:val="18"/>
                <w:szCs w:val="18"/>
              </w:rPr>
              <w:t xml:space="preserve"> ammonium tolerance</w:t>
            </w:r>
          </w:p>
        </w:tc>
        <w:tc>
          <w:tcPr>
            <w:tcW w:w="2700" w:type="dxa"/>
          </w:tcPr>
          <w:p w:rsidR="00846D71" w:rsidRPr="007B062C" w:rsidRDefault="00846D71" w:rsidP="006D6A5C">
            <w:pPr>
              <w:widowControl w:val="0"/>
              <w:adjustRightInd w:val="0"/>
              <w:spacing w:line="240" w:lineRule="atLeast"/>
              <w:textAlignment w:val="baseline"/>
              <w:rPr>
                <w:rFonts w:ascii="Arial" w:hAnsi="Arial" w:cs="Arial"/>
                <w:b/>
                <w:bCs/>
                <w:snapToGrid w:val="0"/>
                <w:sz w:val="18"/>
                <w:szCs w:val="18"/>
              </w:rPr>
            </w:pPr>
            <w:r w:rsidRPr="007B062C">
              <w:rPr>
                <w:rFonts w:ascii="Arial" w:hAnsi="Arial" w:cs="Arial"/>
                <w:b/>
                <w:bCs/>
                <w:sz w:val="18"/>
                <w:szCs w:val="18"/>
              </w:rPr>
              <w:t>Marginal</w:t>
            </w:r>
          </w:p>
          <w:p w:rsidR="00846D71" w:rsidRPr="007B062C" w:rsidRDefault="00846D71" w:rsidP="00846D71">
            <w:pPr>
              <w:widowControl w:val="0"/>
              <w:numPr>
                <w:ilvl w:val="0"/>
                <w:numId w:val="2"/>
              </w:numPr>
              <w:adjustRightInd w:val="0"/>
              <w:spacing w:after="0" w:line="240" w:lineRule="atLeast"/>
              <w:textAlignment w:val="baseline"/>
              <w:rPr>
                <w:rFonts w:ascii="Arial" w:hAnsi="Arial" w:cs="Arial"/>
                <w:sz w:val="18"/>
                <w:szCs w:val="18"/>
              </w:rPr>
            </w:pPr>
            <w:proofErr w:type="spellStart"/>
            <w:r>
              <w:rPr>
                <w:rFonts w:ascii="Arial" w:hAnsi="Arial" w:cs="Arial"/>
                <w:sz w:val="18"/>
                <w:szCs w:val="18"/>
              </w:rPr>
              <w:t>Glufosinate</w:t>
            </w:r>
            <w:proofErr w:type="spellEnd"/>
            <w:r>
              <w:rPr>
                <w:rFonts w:ascii="Arial" w:hAnsi="Arial" w:cs="Arial"/>
                <w:sz w:val="18"/>
                <w:szCs w:val="18"/>
              </w:rPr>
              <w:t xml:space="preserve"> ammonium </w:t>
            </w:r>
            <w:r w:rsidRPr="007B062C">
              <w:rPr>
                <w:rFonts w:ascii="Arial" w:hAnsi="Arial" w:cs="Arial"/>
                <w:sz w:val="18"/>
                <w:szCs w:val="18"/>
              </w:rPr>
              <w:t xml:space="preserve">is not effective for the control of </w:t>
            </w:r>
            <w:r>
              <w:rPr>
                <w:rFonts w:ascii="Arial" w:hAnsi="Arial" w:cs="Arial"/>
                <w:sz w:val="18"/>
                <w:szCs w:val="18"/>
              </w:rPr>
              <w:t xml:space="preserve">established </w:t>
            </w:r>
            <w:r w:rsidRPr="007B062C">
              <w:rPr>
                <w:rFonts w:ascii="Arial" w:hAnsi="Arial" w:cs="Arial"/>
                <w:sz w:val="18"/>
                <w:szCs w:val="18"/>
              </w:rPr>
              <w:t>cotton volunteers.</w:t>
            </w:r>
          </w:p>
          <w:p w:rsidR="00846D71" w:rsidRPr="007B062C" w:rsidRDefault="00846D71" w:rsidP="00846D71">
            <w:pPr>
              <w:widowControl w:val="0"/>
              <w:numPr>
                <w:ilvl w:val="0"/>
                <w:numId w:val="2"/>
              </w:numPr>
              <w:adjustRightInd w:val="0"/>
              <w:spacing w:after="0" w:line="240" w:lineRule="atLeast"/>
              <w:textAlignment w:val="baseline"/>
              <w:rPr>
                <w:rFonts w:ascii="Arial" w:hAnsi="Arial" w:cs="Arial"/>
                <w:snapToGrid w:val="0"/>
                <w:sz w:val="18"/>
                <w:szCs w:val="18"/>
              </w:rPr>
            </w:pPr>
            <w:r>
              <w:rPr>
                <w:rFonts w:ascii="Arial" w:hAnsi="Arial" w:cs="Arial"/>
                <w:sz w:val="18"/>
                <w:szCs w:val="18"/>
              </w:rPr>
              <w:t xml:space="preserve">In the presence of </w:t>
            </w:r>
            <w:proofErr w:type="spellStart"/>
            <w:r>
              <w:rPr>
                <w:rFonts w:ascii="Arial" w:hAnsi="Arial" w:cs="Arial"/>
                <w:sz w:val="18"/>
                <w:szCs w:val="18"/>
              </w:rPr>
              <w:t>glufosinate</w:t>
            </w:r>
            <w:proofErr w:type="spellEnd"/>
            <w:r>
              <w:rPr>
                <w:rFonts w:ascii="Arial" w:hAnsi="Arial" w:cs="Arial"/>
                <w:sz w:val="18"/>
                <w:szCs w:val="18"/>
              </w:rPr>
              <w:t xml:space="preserve"> ammonium, the small competitive advantage of the GM cotton </w:t>
            </w:r>
            <w:proofErr w:type="gramStart"/>
            <w:r>
              <w:rPr>
                <w:rFonts w:ascii="Arial" w:hAnsi="Arial" w:cs="Arial"/>
                <w:sz w:val="18"/>
                <w:szCs w:val="18"/>
              </w:rPr>
              <w:t>is offset</w:t>
            </w:r>
            <w:proofErr w:type="gramEnd"/>
            <w:r>
              <w:rPr>
                <w:rFonts w:ascii="Arial" w:hAnsi="Arial" w:cs="Arial"/>
                <w:sz w:val="18"/>
                <w:szCs w:val="18"/>
              </w:rPr>
              <w:t xml:space="preserve"> by abiotic and biotic factors (</w:t>
            </w:r>
            <w:r w:rsidRPr="007B062C">
              <w:rPr>
                <w:rFonts w:ascii="Arial" w:hAnsi="Arial" w:cs="Arial"/>
                <w:sz w:val="18"/>
                <w:szCs w:val="18"/>
              </w:rPr>
              <w:t>such as water availability, temperature, soil type and nutrients</w:t>
            </w:r>
            <w:r>
              <w:rPr>
                <w:rFonts w:ascii="Arial" w:hAnsi="Arial" w:cs="Arial"/>
                <w:sz w:val="18"/>
                <w:szCs w:val="18"/>
              </w:rPr>
              <w:t>) that limit the spread and persistence of all cotton in Australia.</w:t>
            </w:r>
          </w:p>
        </w:tc>
        <w:tc>
          <w:tcPr>
            <w:tcW w:w="3536" w:type="dxa"/>
          </w:tcPr>
          <w:p w:rsidR="00846D71" w:rsidRPr="007B062C" w:rsidRDefault="00846D71" w:rsidP="006D6A5C">
            <w:pPr>
              <w:widowControl w:val="0"/>
              <w:adjustRightInd w:val="0"/>
              <w:spacing w:line="240" w:lineRule="atLeast"/>
              <w:textAlignment w:val="baseline"/>
              <w:rPr>
                <w:rFonts w:ascii="Arial" w:hAnsi="Arial" w:cs="Arial"/>
                <w:b/>
                <w:bCs/>
                <w:sz w:val="18"/>
                <w:szCs w:val="18"/>
              </w:rPr>
            </w:pPr>
            <w:r w:rsidRPr="007B062C">
              <w:rPr>
                <w:rFonts w:ascii="Arial" w:hAnsi="Arial" w:cs="Arial"/>
                <w:b/>
                <w:bCs/>
                <w:sz w:val="18"/>
                <w:szCs w:val="18"/>
              </w:rPr>
              <w:t>Highly unlikely</w:t>
            </w:r>
          </w:p>
          <w:p w:rsidR="00846D71" w:rsidRPr="007B062C" w:rsidRDefault="00846D71" w:rsidP="00846D71">
            <w:pPr>
              <w:widowControl w:val="0"/>
              <w:numPr>
                <w:ilvl w:val="0"/>
                <w:numId w:val="2"/>
              </w:numPr>
              <w:adjustRightInd w:val="0"/>
              <w:spacing w:after="0" w:line="240" w:lineRule="atLeast"/>
              <w:textAlignment w:val="baseline"/>
              <w:rPr>
                <w:rFonts w:ascii="Arial" w:hAnsi="Arial" w:cs="Arial"/>
                <w:sz w:val="18"/>
                <w:szCs w:val="18"/>
              </w:rPr>
            </w:pPr>
            <w:r w:rsidRPr="007B062C">
              <w:rPr>
                <w:rFonts w:ascii="Arial" w:hAnsi="Arial" w:cs="Arial"/>
                <w:sz w:val="18"/>
                <w:szCs w:val="18"/>
              </w:rPr>
              <w:t xml:space="preserve">Cotton is primarily </w:t>
            </w:r>
            <w:r>
              <w:rPr>
                <w:rFonts w:ascii="Arial" w:hAnsi="Arial" w:cs="Arial"/>
                <w:sz w:val="18"/>
                <w:szCs w:val="18"/>
              </w:rPr>
              <w:t>self-pollinating</w:t>
            </w:r>
            <w:r w:rsidRPr="007B062C">
              <w:rPr>
                <w:rFonts w:ascii="Arial" w:hAnsi="Arial" w:cs="Arial"/>
                <w:sz w:val="18"/>
                <w:szCs w:val="18"/>
              </w:rPr>
              <w:t xml:space="preserve"> and gene transfer to other cotton plants </w:t>
            </w:r>
            <w:proofErr w:type="gramStart"/>
            <w:r w:rsidRPr="007B062C">
              <w:rPr>
                <w:rFonts w:ascii="Arial" w:hAnsi="Arial" w:cs="Arial"/>
                <w:sz w:val="18"/>
                <w:szCs w:val="18"/>
              </w:rPr>
              <w:t>is only expected</w:t>
            </w:r>
            <w:proofErr w:type="gramEnd"/>
            <w:r w:rsidRPr="007B062C">
              <w:rPr>
                <w:rFonts w:ascii="Arial" w:hAnsi="Arial" w:cs="Arial"/>
                <w:sz w:val="18"/>
                <w:szCs w:val="18"/>
              </w:rPr>
              <w:t xml:space="preserve"> to occur in close proximity and at low frequencies.</w:t>
            </w:r>
          </w:p>
          <w:p w:rsidR="00846D71" w:rsidRPr="007B062C" w:rsidRDefault="00846D71" w:rsidP="00846D71">
            <w:pPr>
              <w:widowControl w:val="0"/>
              <w:numPr>
                <w:ilvl w:val="0"/>
                <w:numId w:val="2"/>
              </w:numPr>
              <w:adjustRightInd w:val="0"/>
              <w:spacing w:after="0" w:line="240" w:lineRule="atLeast"/>
              <w:textAlignment w:val="baseline"/>
              <w:rPr>
                <w:rFonts w:ascii="Arial" w:hAnsi="Arial" w:cs="Arial"/>
                <w:b/>
                <w:bCs/>
                <w:sz w:val="18"/>
                <w:szCs w:val="18"/>
              </w:rPr>
            </w:pPr>
            <w:r w:rsidRPr="007B062C">
              <w:rPr>
                <w:rFonts w:ascii="Arial" w:hAnsi="Arial" w:cs="Arial"/>
                <w:sz w:val="18"/>
                <w:szCs w:val="18"/>
              </w:rPr>
              <w:t xml:space="preserve">The requirement to apply insecticides to herbicide tolerant GM cotton will further reduce </w:t>
            </w:r>
            <w:r>
              <w:rPr>
                <w:rFonts w:ascii="Arial" w:hAnsi="Arial" w:cs="Arial"/>
                <w:sz w:val="18"/>
                <w:szCs w:val="18"/>
              </w:rPr>
              <w:t xml:space="preserve">the chance of </w:t>
            </w:r>
            <w:r w:rsidRPr="007B062C">
              <w:rPr>
                <w:rFonts w:ascii="Arial" w:hAnsi="Arial" w:cs="Arial"/>
                <w:sz w:val="18"/>
                <w:szCs w:val="18"/>
              </w:rPr>
              <w:t>gene transfer via insects.</w:t>
            </w:r>
          </w:p>
          <w:p w:rsidR="00846D71" w:rsidRPr="007B062C" w:rsidRDefault="00846D71" w:rsidP="00846D71">
            <w:pPr>
              <w:widowControl w:val="0"/>
              <w:numPr>
                <w:ilvl w:val="0"/>
                <w:numId w:val="2"/>
              </w:numPr>
              <w:adjustRightInd w:val="0"/>
              <w:spacing w:after="0" w:line="240" w:lineRule="atLeast"/>
              <w:textAlignment w:val="baseline"/>
              <w:rPr>
                <w:rFonts w:ascii="Arial" w:hAnsi="Arial" w:cs="Arial"/>
                <w:b/>
                <w:bCs/>
                <w:sz w:val="18"/>
                <w:szCs w:val="18"/>
              </w:rPr>
            </w:pPr>
            <w:proofErr w:type="spellStart"/>
            <w:r w:rsidRPr="007B062C">
              <w:rPr>
                <w:rFonts w:ascii="Arial" w:hAnsi="Arial" w:cs="Arial"/>
                <w:sz w:val="18"/>
                <w:szCs w:val="18"/>
              </w:rPr>
              <w:t>Glufosinate</w:t>
            </w:r>
            <w:proofErr w:type="spellEnd"/>
            <w:r w:rsidRPr="007B062C">
              <w:rPr>
                <w:rFonts w:ascii="Arial" w:hAnsi="Arial" w:cs="Arial"/>
                <w:sz w:val="18"/>
                <w:szCs w:val="18"/>
              </w:rPr>
              <w:t xml:space="preserve"> ammonium is not a widely used herbicide </w:t>
            </w:r>
            <w:r>
              <w:rPr>
                <w:rFonts w:ascii="Arial" w:hAnsi="Arial" w:cs="Arial"/>
                <w:sz w:val="18"/>
                <w:szCs w:val="18"/>
              </w:rPr>
              <w:t xml:space="preserve">for the control of cotton volunteers as other methods </w:t>
            </w:r>
            <w:proofErr w:type="gramStart"/>
            <w:r>
              <w:rPr>
                <w:rFonts w:ascii="Arial" w:hAnsi="Arial" w:cs="Arial"/>
                <w:sz w:val="18"/>
                <w:szCs w:val="18"/>
              </w:rPr>
              <w:t>are more commonly used</w:t>
            </w:r>
            <w:proofErr w:type="gramEnd"/>
            <w:r>
              <w:rPr>
                <w:rFonts w:ascii="Arial" w:hAnsi="Arial" w:cs="Arial"/>
                <w:sz w:val="18"/>
                <w:szCs w:val="18"/>
              </w:rPr>
              <w:t xml:space="preserve">, such as </w:t>
            </w:r>
            <w:r w:rsidRPr="007B062C">
              <w:rPr>
                <w:rFonts w:ascii="Arial" w:hAnsi="Arial" w:cs="Arial"/>
                <w:sz w:val="18"/>
                <w:szCs w:val="18"/>
              </w:rPr>
              <w:t>mechanical means or, if still at the seedling stage, alternative herbicides</w:t>
            </w:r>
            <w:r>
              <w:rPr>
                <w:rFonts w:ascii="Arial" w:hAnsi="Arial" w:cs="Arial"/>
                <w:sz w:val="18"/>
                <w:szCs w:val="18"/>
              </w:rPr>
              <w:t>.</w:t>
            </w:r>
          </w:p>
        </w:tc>
        <w:tc>
          <w:tcPr>
            <w:tcW w:w="1077" w:type="dxa"/>
          </w:tcPr>
          <w:p w:rsidR="00846D71" w:rsidRPr="007B062C" w:rsidRDefault="00846D71" w:rsidP="006D6A5C">
            <w:pPr>
              <w:spacing w:line="240" w:lineRule="atLeast"/>
              <w:jc w:val="center"/>
              <w:rPr>
                <w:rFonts w:ascii="Arial" w:hAnsi="Arial" w:cs="Arial"/>
                <w:b/>
                <w:bCs/>
                <w:sz w:val="18"/>
                <w:szCs w:val="18"/>
              </w:rPr>
            </w:pPr>
            <w:r w:rsidRPr="007B062C">
              <w:rPr>
                <w:rFonts w:ascii="Arial" w:hAnsi="Arial" w:cs="Arial"/>
                <w:b/>
                <w:bCs/>
                <w:sz w:val="18"/>
                <w:szCs w:val="18"/>
              </w:rPr>
              <w:t>Negligible</w:t>
            </w:r>
          </w:p>
        </w:tc>
        <w:tc>
          <w:tcPr>
            <w:tcW w:w="1147" w:type="dxa"/>
          </w:tcPr>
          <w:p w:rsidR="00846D71" w:rsidRPr="007B062C" w:rsidRDefault="00846D71" w:rsidP="006D6A5C">
            <w:pPr>
              <w:spacing w:line="240" w:lineRule="atLeast"/>
              <w:jc w:val="center"/>
              <w:rPr>
                <w:rFonts w:ascii="Arial" w:hAnsi="Arial" w:cs="Arial"/>
                <w:b/>
                <w:bCs/>
                <w:sz w:val="18"/>
                <w:szCs w:val="18"/>
              </w:rPr>
            </w:pPr>
            <w:r w:rsidRPr="007B062C">
              <w:rPr>
                <w:rFonts w:ascii="Arial" w:hAnsi="Arial" w:cs="Arial"/>
                <w:b/>
                <w:bCs/>
                <w:sz w:val="18"/>
                <w:szCs w:val="18"/>
              </w:rPr>
              <w:t>No</w:t>
            </w:r>
          </w:p>
        </w:tc>
      </w:tr>
      <w:tr w:rsidR="00846D71" w:rsidRPr="007B062C" w:rsidTr="006D6A5C">
        <w:trPr>
          <w:cantSplit/>
          <w:trHeight w:val="1226"/>
        </w:trPr>
        <w:tc>
          <w:tcPr>
            <w:tcW w:w="1980" w:type="dxa"/>
          </w:tcPr>
          <w:p w:rsidR="00846D71" w:rsidRPr="007B062C" w:rsidRDefault="00846D71" w:rsidP="006D6A5C">
            <w:pPr>
              <w:spacing w:line="240" w:lineRule="atLeast"/>
              <w:rPr>
                <w:rFonts w:ascii="Arial" w:hAnsi="Arial" w:cs="Arial"/>
                <w:b/>
                <w:bCs/>
                <w:sz w:val="18"/>
                <w:szCs w:val="18"/>
              </w:rPr>
            </w:pPr>
            <w:r w:rsidRPr="007B062C">
              <w:rPr>
                <w:rFonts w:ascii="Arial" w:hAnsi="Arial" w:cs="Arial"/>
                <w:b/>
                <w:bCs/>
                <w:sz w:val="18"/>
                <w:szCs w:val="18"/>
              </w:rPr>
              <w:lastRenderedPageBreak/>
              <w:t>Event 3</w:t>
            </w:r>
          </w:p>
          <w:p w:rsidR="00846D71" w:rsidRPr="007B062C" w:rsidRDefault="00846D71" w:rsidP="006D6A5C">
            <w:pPr>
              <w:spacing w:line="240" w:lineRule="atLeast"/>
              <w:rPr>
                <w:rFonts w:ascii="Arial" w:hAnsi="Arial" w:cs="Arial"/>
                <w:sz w:val="18"/>
                <w:szCs w:val="18"/>
              </w:rPr>
            </w:pPr>
            <w:r w:rsidRPr="007B062C">
              <w:rPr>
                <w:rFonts w:ascii="Arial" w:hAnsi="Arial" w:cs="Arial"/>
                <w:sz w:val="18"/>
                <w:szCs w:val="18"/>
              </w:rPr>
              <w:t xml:space="preserve">Expression of the </w:t>
            </w:r>
            <w:r w:rsidRPr="007B062C">
              <w:rPr>
                <w:rFonts w:ascii="Arial" w:hAnsi="Arial" w:cs="Arial"/>
                <w:i/>
                <w:iCs/>
                <w:sz w:val="18"/>
                <w:szCs w:val="18"/>
              </w:rPr>
              <w:t>bar</w:t>
            </w:r>
            <w:r w:rsidRPr="007B062C">
              <w:rPr>
                <w:rFonts w:ascii="Arial" w:hAnsi="Arial" w:cs="Arial"/>
                <w:sz w:val="18"/>
                <w:szCs w:val="18"/>
              </w:rPr>
              <w:t xml:space="preserve"> gene in combination with </w:t>
            </w:r>
            <w:r w:rsidRPr="007B062C">
              <w:rPr>
                <w:rFonts w:ascii="Arial" w:hAnsi="Arial" w:cs="Arial"/>
                <w:i/>
                <w:iCs/>
                <w:sz w:val="18"/>
                <w:szCs w:val="18"/>
              </w:rPr>
              <w:t>cp4 </w:t>
            </w:r>
            <w:proofErr w:type="spellStart"/>
            <w:r w:rsidRPr="007B062C">
              <w:rPr>
                <w:rFonts w:ascii="Arial" w:hAnsi="Arial" w:cs="Arial"/>
                <w:i/>
                <w:iCs/>
                <w:sz w:val="18"/>
                <w:szCs w:val="18"/>
              </w:rPr>
              <w:t>epsps</w:t>
            </w:r>
            <w:proofErr w:type="spellEnd"/>
            <w:r w:rsidRPr="007B062C">
              <w:rPr>
                <w:rFonts w:ascii="Arial" w:hAnsi="Arial" w:cs="Arial"/>
                <w:i/>
                <w:iCs/>
                <w:sz w:val="18"/>
                <w:szCs w:val="18"/>
              </w:rPr>
              <w:t xml:space="preserve"> gene and/or</w:t>
            </w:r>
            <w:r w:rsidRPr="007B062C">
              <w:rPr>
                <w:rFonts w:ascii="Arial" w:hAnsi="Arial" w:cs="Arial"/>
                <w:sz w:val="18"/>
                <w:szCs w:val="18"/>
              </w:rPr>
              <w:t xml:space="preserve"> </w:t>
            </w:r>
            <w:r w:rsidRPr="007B062C">
              <w:rPr>
                <w:rFonts w:ascii="Arial" w:hAnsi="Arial" w:cs="Arial"/>
                <w:i/>
                <w:iCs/>
                <w:sz w:val="18"/>
                <w:szCs w:val="18"/>
              </w:rPr>
              <w:t xml:space="preserve">cry1Ac </w:t>
            </w:r>
            <w:r w:rsidRPr="007B062C">
              <w:rPr>
                <w:rFonts w:ascii="Arial" w:hAnsi="Arial" w:cs="Arial"/>
                <w:sz w:val="18"/>
                <w:szCs w:val="18"/>
              </w:rPr>
              <w:t xml:space="preserve">and </w:t>
            </w:r>
            <w:r w:rsidRPr="007B062C">
              <w:rPr>
                <w:rFonts w:ascii="Arial" w:hAnsi="Arial" w:cs="Arial"/>
                <w:i/>
                <w:iCs/>
                <w:sz w:val="18"/>
                <w:szCs w:val="18"/>
              </w:rPr>
              <w:t>cry2Ab</w:t>
            </w:r>
            <w:r w:rsidRPr="007B062C">
              <w:rPr>
                <w:rFonts w:ascii="Arial" w:hAnsi="Arial" w:cs="Arial"/>
                <w:sz w:val="18"/>
                <w:szCs w:val="18"/>
              </w:rPr>
              <w:t xml:space="preserve"> genes providing dual herbicide tolerance and reducing lepidopteran herbivory</w:t>
            </w:r>
          </w:p>
        </w:tc>
        <w:tc>
          <w:tcPr>
            <w:tcW w:w="2700" w:type="dxa"/>
          </w:tcPr>
          <w:p w:rsidR="00846D71" w:rsidRPr="007B062C" w:rsidRDefault="00846D71" w:rsidP="006D6A5C">
            <w:pPr>
              <w:widowControl w:val="0"/>
              <w:adjustRightInd w:val="0"/>
              <w:spacing w:line="240" w:lineRule="atLeast"/>
              <w:textAlignment w:val="baseline"/>
              <w:rPr>
                <w:rFonts w:ascii="Arial" w:hAnsi="Arial" w:cs="Arial"/>
                <w:b/>
                <w:bCs/>
                <w:snapToGrid w:val="0"/>
                <w:sz w:val="18"/>
                <w:szCs w:val="18"/>
              </w:rPr>
            </w:pPr>
            <w:r w:rsidRPr="007B062C">
              <w:rPr>
                <w:rFonts w:ascii="Arial" w:hAnsi="Arial" w:cs="Arial"/>
                <w:b/>
                <w:bCs/>
                <w:snapToGrid w:val="0"/>
                <w:sz w:val="18"/>
                <w:szCs w:val="18"/>
              </w:rPr>
              <w:t>Minor</w:t>
            </w:r>
          </w:p>
          <w:p w:rsidR="00846D71" w:rsidRPr="007B062C" w:rsidRDefault="00846D71" w:rsidP="00846D71">
            <w:pPr>
              <w:widowControl w:val="0"/>
              <w:numPr>
                <w:ilvl w:val="0"/>
                <w:numId w:val="2"/>
              </w:numPr>
              <w:adjustRightInd w:val="0"/>
              <w:spacing w:after="0" w:line="240" w:lineRule="atLeast"/>
              <w:textAlignment w:val="baseline"/>
              <w:rPr>
                <w:rFonts w:ascii="Arial" w:hAnsi="Arial" w:cs="Arial"/>
                <w:sz w:val="18"/>
                <w:szCs w:val="18"/>
              </w:rPr>
            </w:pPr>
            <w:proofErr w:type="spellStart"/>
            <w:r>
              <w:rPr>
                <w:rFonts w:ascii="Arial" w:hAnsi="Arial" w:cs="Arial"/>
                <w:sz w:val="18"/>
                <w:szCs w:val="18"/>
              </w:rPr>
              <w:t>Glufosinate</w:t>
            </w:r>
            <w:proofErr w:type="spellEnd"/>
            <w:r>
              <w:rPr>
                <w:rFonts w:ascii="Arial" w:hAnsi="Arial" w:cs="Arial"/>
                <w:sz w:val="18"/>
                <w:szCs w:val="18"/>
              </w:rPr>
              <w:t xml:space="preserve"> ammonium and glyphosate </w:t>
            </w:r>
            <w:r w:rsidRPr="007B062C">
              <w:rPr>
                <w:rFonts w:ascii="Arial" w:hAnsi="Arial" w:cs="Arial"/>
                <w:sz w:val="18"/>
                <w:szCs w:val="18"/>
              </w:rPr>
              <w:t xml:space="preserve">is not effective for the control of </w:t>
            </w:r>
            <w:r>
              <w:rPr>
                <w:rFonts w:ascii="Arial" w:hAnsi="Arial" w:cs="Arial"/>
                <w:sz w:val="18"/>
                <w:szCs w:val="18"/>
              </w:rPr>
              <w:t xml:space="preserve">established </w:t>
            </w:r>
            <w:r w:rsidRPr="007B062C">
              <w:rPr>
                <w:rFonts w:ascii="Arial" w:hAnsi="Arial" w:cs="Arial"/>
                <w:sz w:val="18"/>
                <w:szCs w:val="18"/>
              </w:rPr>
              <w:t>cotton volunteers.</w:t>
            </w:r>
          </w:p>
          <w:p w:rsidR="00846D71" w:rsidRPr="007B062C" w:rsidRDefault="00846D71" w:rsidP="00846D71">
            <w:pPr>
              <w:widowControl w:val="0"/>
              <w:numPr>
                <w:ilvl w:val="0"/>
                <w:numId w:val="2"/>
              </w:numPr>
              <w:adjustRightInd w:val="0"/>
              <w:spacing w:after="0" w:line="240" w:lineRule="atLeast"/>
              <w:textAlignment w:val="baseline"/>
              <w:rPr>
                <w:rFonts w:ascii="Arial" w:hAnsi="Arial" w:cs="Arial"/>
                <w:sz w:val="18"/>
                <w:szCs w:val="18"/>
              </w:rPr>
            </w:pPr>
            <w:r>
              <w:rPr>
                <w:rFonts w:ascii="Arial" w:hAnsi="Arial" w:cs="Arial"/>
                <w:sz w:val="18"/>
                <w:szCs w:val="18"/>
              </w:rPr>
              <w:t xml:space="preserve">In the presence of </w:t>
            </w:r>
            <w:proofErr w:type="spellStart"/>
            <w:r>
              <w:rPr>
                <w:rFonts w:ascii="Arial" w:hAnsi="Arial" w:cs="Arial"/>
                <w:sz w:val="18"/>
                <w:szCs w:val="18"/>
              </w:rPr>
              <w:t>glufosinate</w:t>
            </w:r>
            <w:proofErr w:type="spellEnd"/>
            <w:r>
              <w:rPr>
                <w:rFonts w:ascii="Arial" w:hAnsi="Arial" w:cs="Arial"/>
                <w:sz w:val="18"/>
                <w:szCs w:val="18"/>
              </w:rPr>
              <w:t xml:space="preserve"> ammonium, and glyphosate and/or lepidopteran herbivory, the small competitive advantage of any stacked GM cotton </w:t>
            </w:r>
            <w:proofErr w:type="gramStart"/>
            <w:r>
              <w:rPr>
                <w:rFonts w:ascii="Arial" w:hAnsi="Arial" w:cs="Arial"/>
                <w:sz w:val="18"/>
                <w:szCs w:val="18"/>
              </w:rPr>
              <w:t>is offset</w:t>
            </w:r>
            <w:proofErr w:type="gramEnd"/>
            <w:r>
              <w:rPr>
                <w:rFonts w:ascii="Arial" w:hAnsi="Arial" w:cs="Arial"/>
                <w:sz w:val="18"/>
                <w:szCs w:val="18"/>
              </w:rPr>
              <w:t xml:space="preserve"> by abiotic and biotic factors (</w:t>
            </w:r>
            <w:r w:rsidRPr="007B062C">
              <w:rPr>
                <w:rFonts w:ascii="Arial" w:hAnsi="Arial" w:cs="Arial"/>
                <w:sz w:val="18"/>
                <w:szCs w:val="18"/>
              </w:rPr>
              <w:t>such as water availability, temperature, soil type and nutrients</w:t>
            </w:r>
            <w:r>
              <w:rPr>
                <w:rFonts w:ascii="Arial" w:hAnsi="Arial" w:cs="Arial"/>
                <w:sz w:val="18"/>
                <w:szCs w:val="18"/>
              </w:rPr>
              <w:t>) that limit the spread and persistence of all cotton in Australia.</w:t>
            </w:r>
          </w:p>
          <w:p w:rsidR="00846D71" w:rsidRPr="007B062C" w:rsidRDefault="00846D71" w:rsidP="00846D71">
            <w:pPr>
              <w:widowControl w:val="0"/>
              <w:numPr>
                <w:ilvl w:val="0"/>
                <w:numId w:val="2"/>
              </w:numPr>
              <w:adjustRightInd w:val="0"/>
              <w:spacing w:after="0" w:line="240" w:lineRule="atLeast"/>
              <w:textAlignment w:val="baseline"/>
              <w:rPr>
                <w:rFonts w:ascii="Arial" w:hAnsi="Arial" w:cs="Arial"/>
                <w:sz w:val="18"/>
                <w:szCs w:val="18"/>
              </w:rPr>
            </w:pPr>
            <w:r w:rsidRPr="007B062C">
              <w:rPr>
                <w:rFonts w:ascii="Arial" w:hAnsi="Arial" w:cs="Arial"/>
                <w:sz w:val="18"/>
                <w:szCs w:val="18"/>
              </w:rPr>
              <w:t xml:space="preserve">The </w:t>
            </w:r>
            <w:r w:rsidRPr="007B062C">
              <w:rPr>
                <w:rFonts w:ascii="Arial" w:hAnsi="Arial" w:cs="Arial"/>
                <w:i/>
                <w:iCs/>
                <w:sz w:val="18"/>
                <w:szCs w:val="18"/>
              </w:rPr>
              <w:t>bar</w:t>
            </w:r>
            <w:r w:rsidRPr="007B062C">
              <w:rPr>
                <w:rFonts w:ascii="Arial" w:hAnsi="Arial" w:cs="Arial"/>
                <w:sz w:val="18"/>
                <w:szCs w:val="18"/>
              </w:rPr>
              <w:t xml:space="preserve"> gene operates independently of the herbicide tolerant and insecticidal genes present in other GM cotton lines and there is no evidence of any interactions. </w:t>
            </w:r>
          </w:p>
        </w:tc>
        <w:tc>
          <w:tcPr>
            <w:tcW w:w="3536" w:type="dxa"/>
          </w:tcPr>
          <w:p w:rsidR="00846D71" w:rsidRPr="007B062C" w:rsidRDefault="00846D71" w:rsidP="006D6A5C">
            <w:pPr>
              <w:widowControl w:val="0"/>
              <w:adjustRightInd w:val="0"/>
              <w:spacing w:line="240" w:lineRule="atLeast"/>
              <w:textAlignment w:val="baseline"/>
              <w:rPr>
                <w:rFonts w:ascii="Arial" w:hAnsi="Arial" w:cs="Arial"/>
                <w:b/>
                <w:bCs/>
                <w:sz w:val="18"/>
                <w:szCs w:val="18"/>
              </w:rPr>
            </w:pPr>
            <w:r w:rsidRPr="007B062C">
              <w:rPr>
                <w:rFonts w:ascii="Arial" w:hAnsi="Arial" w:cs="Arial"/>
                <w:b/>
                <w:bCs/>
                <w:sz w:val="18"/>
                <w:szCs w:val="18"/>
              </w:rPr>
              <w:t>Highly unlikely</w:t>
            </w:r>
          </w:p>
          <w:p w:rsidR="00846D71" w:rsidRPr="007B062C" w:rsidRDefault="00846D71" w:rsidP="00846D71">
            <w:pPr>
              <w:widowControl w:val="0"/>
              <w:numPr>
                <w:ilvl w:val="0"/>
                <w:numId w:val="2"/>
              </w:numPr>
              <w:adjustRightInd w:val="0"/>
              <w:spacing w:after="0" w:line="240" w:lineRule="atLeast"/>
              <w:textAlignment w:val="baseline"/>
              <w:rPr>
                <w:rFonts w:ascii="Arial" w:hAnsi="Arial" w:cs="Arial"/>
                <w:sz w:val="18"/>
                <w:szCs w:val="18"/>
              </w:rPr>
            </w:pPr>
            <w:r w:rsidRPr="007B062C">
              <w:rPr>
                <w:rFonts w:ascii="Arial" w:hAnsi="Arial" w:cs="Arial"/>
                <w:sz w:val="18"/>
                <w:szCs w:val="18"/>
              </w:rPr>
              <w:t xml:space="preserve">The current commercially approved GM cotton lines are only authorised for unrestricted release in southern areas of Australia. Stacking is </w:t>
            </w:r>
            <w:r>
              <w:rPr>
                <w:rFonts w:ascii="Arial" w:hAnsi="Arial" w:cs="Arial"/>
                <w:sz w:val="18"/>
                <w:szCs w:val="18"/>
              </w:rPr>
              <w:t>not expected</w:t>
            </w:r>
            <w:r w:rsidRPr="007B062C">
              <w:rPr>
                <w:rFonts w:ascii="Arial" w:hAnsi="Arial" w:cs="Arial"/>
                <w:sz w:val="18"/>
                <w:szCs w:val="18"/>
              </w:rPr>
              <w:t xml:space="preserve"> to occur in northern areas of </w:t>
            </w:r>
            <w:proofErr w:type="gramStart"/>
            <w:r w:rsidRPr="007B062C">
              <w:rPr>
                <w:rFonts w:ascii="Arial" w:hAnsi="Arial" w:cs="Arial"/>
                <w:sz w:val="18"/>
                <w:szCs w:val="18"/>
              </w:rPr>
              <w:t>Australia</w:t>
            </w:r>
            <w:proofErr w:type="gramEnd"/>
            <w:r w:rsidRPr="007B062C">
              <w:rPr>
                <w:rFonts w:ascii="Arial" w:hAnsi="Arial" w:cs="Arial"/>
                <w:sz w:val="18"/>
                <w:szCs w:val="18"/>
              </w:rPr>
              <w:t xml:space="preserve"> as field trials with GM cotton in northern Australia are required to be conducted under limited and controlled conditions.</w:t>
            </w:r>
          </w:p>
          <w:p w:rsidR="00846D71" w:rsidRPr="007B062C" w:rsidRDefault="00846D71" w:rsidP="00846D71">
            <w:pPr>
              <w:widowControl w:val="0"/>
              <w:numPr>
                <w:ilvl w:val="0"/>
                <w:numId w:val="2"/>
              </w:numPr>
              <w:adjustRightInd w:val="0"/>
              <w:spacing w:after="0" w:line="240" w:lineRule="atLeast"/>
              <w:textAlignment w:val="baseline"/>
              <w:rPr>
                <w:rFonts w:ascii="Arial" w:hAnsi="Arial" w:cs="Arial"/>
                <w:sz w:val="18"/>
                <w:szCs w:val="18"/>
              </w:rPr>
            </w:pPr>
            <w:r w:rsidRPr="007B062C">
              <w:rPr>
                <w:rFonts w:ascii="Arial" w:hAnsi="Arial" w:cs="Arial"/>
                <w:sz w:val="18"/>
                <w:szCs w:val="18"/>
              </w:rPr>
              <w:t xml:space="preserve">Cotton is primarily </w:t>
            </w:r>
            <w:r>
              <w:rPr>
                <w:rFonts w:ascii="Arial" w:hAnsi="Arial" w:cs="Arial"/>
                <w:sz w:val="18"/>
                <w:szCs w:val="18"/>
              </w:rPr>
              <w:t>self-pollinating</w:t>
            </w:r>
            <w:r w:rsidRPr="007B062C">
              <w:rPr>
                <w:rFonts w:ascii="Arial" w:hAnsi="Arial" w:cs="Arial"/>
                <w:sz w:val="18"/>
                <w:szCs w:val="18"/>
              </w:rPr>
              <w:t xml:space="preserve"> and gene transfer to other cotton plants </w:t>
            </w:r>
            <w:proofErr w:type="gramStart"/>
            <w:r w:rsidRPr="007B062C">
              <w:rPr>
                <w:rFonts w:ascii="Arial" w:hAnsi="Arial" w:cs="Arial"/>
                <w:sz w:val="18"/>
                <w:szCs w:val="18"/>
              </w:rPr>
              <w:t>is expected</w:t>
            </w:r>
            <w:proofErr w:type="gramEnd"/>
            <w:r w:rsidRPr="007B062C">
              <w:rPr>
                <w:rFonts w:ascii="Arial" w:hAnsi="Arial" w:cs="Arial"/>
                <w:sz w:val="18"/>
                <w:szCs w:val="18"/>
              </w:rPr>
              <w:t xml:space="preserve"> to occur in close proximity and at low frequencies.</w:t>
            </w:r>
          </w:p>
          <w:p w:rsidR="00846D71" w:rsidRPr="007B062C" w:rsidRDefault="00846D71" w:rsidP="00846D71">
            <w:pPr>
              <w:widowControl w:val="0"/>
              <w:numPr>
                <w:ilvl w:val="0"/>
                <w:numId w:val="2"/>
              </w:numPr>
              <w:adjustRightInd w:val="0"/>
              <w:spacing w:after="0" w:line="240" w:lineRule="atLeast"/>
              <w:textAlignment w:val="baseline"/>
              <w:rPr>
                <w:rFonts w:ascii="Arial" w:hAnsi="Arial" w:cs="Arial"/>
                <w:sz w:val="18"/>
                <w:szCs w:val="18"/>
              </w:rPr>
            </w:pPr>
            <w:r w:rsidRPr="007B062C">
              <w:rPr>
                <w:rFonts w:ascii="Arial" w:hAnsi="Arial" w:cs="Arial"/>
                <w:sz w:val="18"/>
                <w:szCs w:val="18"/>
              </w:rPr>
              <w:t xml:space="preserve">The requirement to apply insecticides to herbicide tolerant GM cotton will further reduce </w:t>
            </w:r>
            <w:r>
              <w:rPr>
                <w:rFonts w:ascii="Arial" w:hAnsi="Arial" w:cs="Arial"/>
                <w:sz w:val="18"/>
                <w:szCs w:val="18"/>
              </w:rPr>
              <w:t xml:space="preserve">the chance of </w:t>
            </w:r>
            <w:r w:rsidRPr="007B062C">
              <w:rPr>
                <w:rFonts w:ascii="Arial" w:hAnsi="Arial" w:cs="Arial"/>
                <w:sz w:val="18"/>
                <w:szCs w:val="18"/>
              </w:rPr>
              <w:t>gene transfer via insects.</w:t>
            </w:r>
          </w:p>
          <w:p w:rsidR="00846D71" w:rsidRPr="007B062C" w:rsidRDefault="00846D71" w:rsidP="00846D71">
            <w:pPr>
              <w:widowControl w:val="0"/>
              <w:numPr>
                <w:ilvl w:val="0"/>
                <w:numId w:val="2"/>
              </w:numPr>
              <w:adjustRightInd w:val="0"/>
              <w:spacing w:after="0" w:line="240" w:lineRule="atLeast"/>
              <w:textAlignment w:val="baseline"/>
              <w:rPr>
                <w:rFonts w:ascii="Arial" w:hAnsi="Arial" w:cs="Arial"/>
                <w:b/>
                <w:bCs/>
                <w:sz w:val="18"/>
                <w:szCs w:val="18"/>
              </w:rPr>
            </w:pPr>
            <w:proofErr w:type="spellStart"/>
            <w:r w:rsidRPr="007B062C">
              <w:rPr>
                <w:rFonts w:ascii="Arial" w:hAnsi="Arial" w:cs="Arial"/>
                <w:sz w:val="18"/>
                <w:szCs w:val="18"/>
              </w:rPr>
              <w:t>Glufosinate</w:t>
            </w:r>
            <w:proofErr w:type="spellEnd"/>
            <w:r w:rsidRPr="007B062C">
              <w:rPr>
                <w:rFonts w:ascii="Arial" w:hAnsi="Arial" w:cs="Arial"/>
                <w:sz w:val="18"/>
                <w:szCs w:val="18"/>
              </w:rPr>
              <w:t xml:space="preserve"> ammonium </w:t>
            </w:r>
            <w:r>
              <w:rPr>
                <w:rFonts w:ascii="Arial" w:hAnsi="Arial" w:cs="Arial"/>
                <w:sz w:val="18"/>
                <w:szCs w:val="18"/>
              </w:rPr>
              <w:t>and glyphosate</w:t>
            </w:r>
            <w:r w:rsidRPr="007B062C">
              <w:rPr>
                <w:rFonts w:ascii="Arial" w:hAnsi="Arial" w:cs="Arial"/>
                <w:sz w:val="18"/>
                <w:szCs w:val="18"/>
              </w:rPr>
              <w:t xml:space="preserve"> </w:t>
            </w:r>
            <w:proofErr w:type="gramStart"/>
            <w:r>
              <w:rPr>
                <w:rFonts w:ascii="Arial" w:hAnsi="Arial" w:cs="Arial"/>
                <w:sz w:val="18"/>
                <w:szCs w:val="18"/>
              </w:rPr>
              <w:t>are</w:t>
            </w:r>
            <w:r w:rsidRPr="007B062C">
              <w:rPr>
                <w:rFonts w:ascii="Arial" w:hAnsi="Arial" w:cs="Arial"/>
                <w:sz w:val="18"/>
                <w:szCs w:val="18"/>
              </w:rPr>
              <w:t xml:space="preserve"> not </w:t>
            </w:r>
            <w:r>
              <w:rPr>
                <w:rFonts w:ascii="Arial" w:hAnsi="Arial" w:cs="Arial"/>
                <w:sz w:val="18"/>
                <w:szCs w:val="18"/>
              </w:rPr>
              <w:t>used</w:t>
            </w:r>
            <w:proofErr w:type="gramEnd"/>
            <w:r>
              <w:rPr>
                <w:rFonts w:ascii="Arial" w:hAnsi="Arial" w:cs="Arial"/>
                <w:sz w:val="18"/>
                <w:szCs w:val="18"/>
              </w:rPr>
              <w:t xml:space="preserve"> to control established cotton volunteers as other methods are more commonly used, such as </w:t>
            </w:r>
            <w:r w:rsidRPr="007B062C">
              <w:rPr>
                <w:rFonts w:ascii="Arial" w:hAnsi="Arial" w:cs="Arial"/>
                <w:sz w:val="18"/>
                <w:szCs w:val="18"/>
              </w:rPr>
              <w:t>mechanical means or, if still at the seedling stage, alternative herbicides</w:t>
            </w:r>
            <w:r>
              <w:rPr>
                <w:rFonts w:ascii="Arial" w:hAnsi="Arial" w:cs="Arial"/>
                <w:sz w:val="18"/>
                <w:szCs w:val="18"/>
              </w:rPr>
              <w:t>.</w:t>
            </w:r>
          </w:p>
        </w:tc>
        <w:tc>
          <w:tcPr>
            <w:tcW w:w="1077" w:type="dxa"/>
          </w:tcPr>
          <w:p w:rsidR="00846D71" w:rsidRPr="007B062C" w:rsidRDefault="00846D71" w:rsidP="006D6A5C">
            <w:pPr>
              <w:spacing w:line="240" w:lineRule="atLeast"/>
              <w:jc w:val="center"/>
              <w:rPr>
                <w:rFonts w:ascii="Arial" w:hAnsi="Arial" w:cs="Arial"/>
                <w:b/>
                <w:bCs/>
                <w:sz w:val="18"/>
                <w:szCs w:val="18"/>
              </w:rPr>
            </w:pPr>
            <w:r w:rsidRPr="007B062C">
              <w:rPr>
                <w:rFonts w:ascii="Arial" w:hAnsi="Arial" w:cs="Arial"/>
                <w:b/>
                <w:bCs/>
                <w:sz w:val="18"/>
                <w:szCs w:val="18"/>
              </w:rPr>
              <w:t>Negligible</w:t>
            </w:r>
          </w:p>
        </w:tc>
        <w:tc>
          <w:tcPr>
            <w:tcW w:w="1147" w:type="dxa"/>
          </w:tcPr>
          <w:p w:rsidR="00846D71" w:rsidRPr="007B062C" w:rsidRDefault="00846D71" w:rsidP="006D6A5C">
            <w:pPr>
              <w:spacing w:line="240" w:lineRule="atLeast"/>
              <w:jc w:val="center"/>
              <w:rPr>
                <w:rFonts w:ascii="Arial" w:hAnsi="Arial" w:cs="Arial"/>
                <w:b/>
                <w:bCs/>
                <w:sz w:val="18"/>
                <w:szCs w:val="18"/>
              </w:rPr>
            </w:pPr>
            <w:r w:rsidRPr="007B062C">
              <w:rPr>
                <w:rFonts w:ascii="Arial" w:hAnsi="Arial" w:cs="Arial"/>
                <w:b/>
                <w:bCs/>
                <w:sz w:val="18"/>
                <w:szCs w:val="18"/>
              </w:rPr>
              <w:t>No</w:t>
            </w:r>
          </w:p>
        </w:tc>
      </w:tr>
    </w:tbl>
    <w:p w:rsidR="00846D71" w:rsidRPr="007B062C" w:rsidRDefault="00846D71" w:rsidP="00846D71">
      <w:pPr>
        <w:pStyle w:val="Heading2"/>
        <w:tabs>
          <w:tab w:val="left" w:pos="1701"/>
        </w:tabs>
      </w:pPr>
      <w:bookmarkStart w:id="33" w:name="_Toc141236855"/>
      <w:r w:rsidRPr="007B062C">
        <w:t>Section 3</w:t>
      </w:r>
      <w:r w:rsidRPr="007B062C">
        <w:tab/>
        <w:t>Risk management</w:t>
      </w:r>
      <w:bookmarkEnd w:id="29"/>
      <w:bookmarkEnd w:id="30"/>
      <w:bookmarkEnd w:id="31"/>
      <w:bookmarkEnd w:id="32"/>
      <w:bookmarkEnd w:id="33"/>
    </w:p>
    <w:p w:rsidR="00846D71" w:rsidRPr="007B062C" w:rsidRDefault="00846D71" w:rsidP="00846D71">
      <w:pPr>
        <w:pStyle w:val="PARA"/>
        <w:numPr>
          <w:ilvl w:val="0"/>
          <w:numId w:val="0"/>
        </w:numPr>
      </w:pPr>
      <w:r w:rsidRPr="007B062C">
        <w:t xml:space="preserve">A risk management plan builds upon the risk assessment to consider whether any action is required to mitigate the identified risks, and what </w:t>
      </w:r>
      <w:proofErr w:type="gramStart"/>
      <w:r w:rsidRPr="007B062C">
        <w:t>can be done</w:t>
      </w:r>
      <w:proofErr w:type="gramEnd"/>
      <w:r w:rsidRPr="007B062C">
        <w:t xml:space="preserve"> to protect the health and safety of people and the environment.</w:t>
      </w:r>
    </w:p>
    <w:p w:rsidR="00846D71" w:rsidRPr="007B062C" w:rsidRDefault="00846D71" w:rsidP="00846D71">
      <w:pPr>
        <w:pStyle w:val="PARA"/>
        <w:numPr>
          <w:ilvl w:val="0"/>
          <w:numId w:val="0"/>
        </w:numPr>
      </w:pPr>
      <w:bookmarkStart w:id="34" w:name="_Toc112063948"/>
      <w:r w:rsidRPr="007B062C">
        <w:t xml:space="preserve">The risk assessment considered three events that might lead to a risk to the environment. The risk estimates for the adverse outcome associated with all three events are </w:t>
      </w:r>
      <w:r w:rsidRPr="007B062C">
        <w:rPr>
          <w:b/>
          <w:bCs/>
        </w:rPr>
        <w:t>negligible</w:t>
      </w:r>
      <w:r w:rsidRPr="007B062C">
        <w:t xml:space="preserve"> (</w:t>
      </w:r>
      <w:proofErr w:type="spellStart"/>
      <w:r w:rsidRPr="007B062C">
        <w:t>ie</w:t>
      </w:r>
      <w:proofErr w:type="spellEnd"/>
      <w:r w:rsidRPr="007B062C">
        <w:t xml:space="preserve"> insubstantial with no present need to invoke actions for their mitigation). Therefore, no risk treatment measures for identified risks </w:t>
      </w:r>
      <w:proofErr w:type="gramStart"/>
      <w:r w:rsidRPr="007B062C">
        <w:t>were imposed</w:t>
      </w:r>
      <w:proofErr w:type="gramEnd"/>
      <w:r w:rsidRPr="007B062C">
        <w:t xml:space="preserve">. </w:t>
      </w:r>
    </w:p>
    <w:p w:rsidR="00846D71" w:rsidRPr="007B062C" w:rsidRDefault="00846D71" w:rsidP="00846D71">
      <w:pPr>
        <w:pStyle w:val="PARA"/>
        <w:numPr>
          <w:ilvl w:val="0"/>
          <w:numId w:val="0"/>
        </w:numPr>
      </w:pPr>
      <w:r w:rsidRPr="007B062C">
        <w:t xml:space="preserve">The licence, detailed in Chapter 5 of the RARMP, contains a number of general conditions relating to ongoing licence holder suitability, auditing and monitoring, and reporting </w:t>
      </w:r>
      <w:proofErr w:type="gramStart"/>
      <w:r w:rsidRPr="007B062C">
        <w:t>requirements which</w:t>
      </w:r>
      <w:proofErr w:type="gramEnd"/>
      <w:r w:rsidRPr="007B062C">
        <w:t xml:space="preserve"> include an obligation to report any unintended effects.</w:t>
      </w:r>
    </w:p>
    <w:p w:rsidR="00846D71" w:rsidRPr="007B062C" w:rsidRDefault="00846D71" w:rsidP="00846D71">
      <w:pPr>
        <w:pStyle w:val="Heading3"/>
        <w:tabs>
          <w:tab w:val="clear" w:pos="1418"/>
          <w:tab w:val="left" w:pos="912"/>
        </w:tabs>
      </w:pPr>
      <w:bookmarkStart w:id="35" w:name="_Toc112728221"/>
      <w:bookmarkStart w:id="36" w:name="_Toc121209900"/>
      <w:bookmarkStart w:id="37" w:name="_Toc135718534"/>
      <w:bookmarkStart w:id="38" w:name="_Toc136159908"/>
      <w:bookmarkStart w:id="39" w:name="_Toc136343734"/>
      <w:bookmarkStart w:id="40" w:name="_Toc141236856"/>
      <w:bookmarkStart w:id="41" w:name="_Toc112063949"/>
      <w:bookmarkEnd w:id="34"/>
      <w:r w:rsidRPr="007B062C">
        <w:t>3.2</w:t>
      </w:r>
      <w:r w:rsidRPr="007B062C">
        <w:tab/>
        <w:t>Other regulatory considerations</w:t>
      </w:r>
      <w:bookmarkEnd w:id="35"/>
      <w:bookmarkEnd w:id="36"/>
      <w:bookmarkEnd w:id="37"/>
      <w:bookmarkEnd w:id="38"/>
      <w:bookmarkEnd w:id="39"/>
      <w:bookmarkEnd w:id="40"/>
    </w:p>
    <w:p w:rsidR="00846D71" w:rsidRPr="007B062C" w:rsidRDefault="00846D71" w:rsidP="00846D71">
      <w:pPr>
        <w:pStyle w:val="PARA"/>
        <w:numPr>
          <w:ilvl w:val="0"/>
          <w:numId w:val="0"/>
        </w:numPr>
        <w:rPr>
          <w:rFonts w:ascii="Times New (W1)" w:hAnsi="Times New (W1)" w:cs="Times New (W1)"/>
        </w:rPr>
      </w:pPr>
      <w:r w:rsidRPr="007B062C">
        <w:t xml:space="preserve">Australia’s gene technology regulatory system operates as part of an integrated legislative framework </w:t>
      </w:r>
      <w:r w:rsidRPr="007B062C">
        <w:fldChar w:fldCharType="begin"/>
      </w:r>
      <w:r w:rsidRPr="007B062C">
        <w:instrText xml:space="preserve"> ADDIN REFMGR.CITE &lt;Refman&gt;&lt;Cite&gt;&lt;Author&gt;OGTR&lt;/Author&gt;&lt;Year&gt;2005&lt;/Year&gt;&lt;RecNum&gt;8128&lt;/RecNum&gt;&lt;IDText&gt;Risk Analysis Framework&lt;/IDText&gt;&lt;MDL Ref_Type="Report"&gt;&lt;Ref_Type&gt;Report&lt;/Ref_Type&gt;&lt;Ref_ID&gt;8128&lt;/Ref_ID&gt;&lt;Title_Primary&gt;&lt;i&gt;Risk Analysis Framework&lt;/i&gt;&lt;/Title_Primary&gt;&lt;Authors_Primary&gt;OGTR&lt;/Authors_Primary&gt;&lt;Date_Primary&gt;2005&lt;/Date_Primary&gt;&lt;Keywords&gt;risk&lt;/Keywords&gt;&lt;Keywords&gt;analysis&lt;/Keywords&gt;&lt;Reprint&gt;In File&lt;/Reprint&gt;&lt;Start_Page&gt;1&lt;/Start_Page&gt;&lt;End_Page&gt;106&lt;/End_Page&gt;&lt;Pub_Place&gt;Canberra, ACT&lt;/Pub_Place&gt;&lt;Publisher&gt;Australian Government&lt;/Publisher&gt;&lt;ZZ_WorkformID&gt;24&lt;/ZZ_WorkformID&gt;&lt;/MDL&gt;&lt;/Cite&gt;&lt;/Refman&gt;</w:instrText>
      </w:r>
      <w:r w:rsidRPr="007B062C">
        <w:fldChar w:fldCharType="separate"/>
      </w:r>
      <w:r w:rsidRPr="007B062C">
        <w:t>(OGTR 2005)</w:t>
      </w:r>
      <w:r w:rsidRPr="007B062C">
        <w:fldChar w:fldCharType="end"/>
      </w:r>
      <w:r w:rsidRPr="007B062C">
        <w:t xml:space="preserve">. Other agencies that also regulate GMOs or GM products include FSANZ, APVMA, </w:t>
      </w:r>
      <w:r w:rsidRPr="007B062C">
        <w:rPr>
          <w:spacing w:val="-5"/>
        </w:rPr>
        <w:t>Therapeutic Goods Administration</w:t>
      </w:r>
      <w:r w:rsidRPr="007B062C">
        <w:t xml:space="preserve">, </w:t>
      </w:r>
      <w:r w:rsidRPr="007B062C">
        <w:rPr>
          <w:spacing w:val="-6"/>
        </w:rPr>
        <w:t>National Industrial Chemicals Notification and Assessment Scheme</w:t>
      </w:r>
      <w:r w:rsidRPr="007B062C">
        <w:t xml:space="preserve">, </w:t>
      </w:r>
      <w:r w:rsidRPr="007B062C">
        <w:rPr>
          <w:spacing w:val="-6"/>
        </w:rPr>
        <w:t>National Health and Medical Research Council</w:t>
      </w:r>
      <w:r w:rsidRPr="007B062C">
        <w:t xml:space="preserve"> and Australian </w:t>
      </w:r>
      <w:r w:rsidRPr="007B062C">
        <w:lastRenderedPageBreak/>
        <w:t>Quarantine Inspection Service. Dealings conducted under any licence issued by the Regulator may also be subject to regulation by one or more of these agencies</w:t>
      </w:r>
      <w:r w:rsidRPr="007B062C">
        <w:rPr>
          <w:rStyle w:val="FootnoteReference"/>
          <w:rFonts w:ascii="Times New (W1)" w:hAnsi="Times New (W1)" w:cs="Times New (W1)"/>
        </w:rPr>
        <w:footnoteReference w:id="2"/>
      </w:r>
      <w:r w:rsidRPr="007B062C">
        <w:rPr>
          <w:rFonts w:ascii="Times New (W1)" w:hAnsi="Times New (W1)" w:cs="Times New (W1)"/>
        </w:rPr>
        <w:t>.</w:t>
      </w:r>
    </w:p>
    <w:p w:rsidR="00846D71" w:rsidRPr="007B062C" w:rsidRDefault="00846D71" w:rsidP="00846D71">
      <w:pPr>
        <w:pStyle w:val="PARA"/>
        <w:numPr>
          <w:ilvl w:val="0"/>
          <w:numId w:val="0"/>
        </w:numPr>
      </w:pPr>
      <w:r w:rsidRPr="007B062C">
        <w:t>FSANZ is responsible for human food safety assessment, including GM food. FSANZ has approved the use of food (oil and linters) derived from Liberty Link</w:t>
      </w:r>
      <w:r w:rsidRPr="007B062C">
        <w:rPr>
          <w:vertAlign w:val="superscript"/>
        </w:rPr>
        <w:t>®</w:t>
      </w:r>
      <w:r w:rsidRPr="007B062C">
        <w:t xml:space="preserve"> Cotton (FSANZ report A533).  </w:t>
      </w:r>
    </w:p>
    <w:p w:rsidR="00846D71" w:rsidRPr="007B062C" w:rsidRDefault="00846D71" w:rsidP="00846D71">
      <w:pPr>
        <w:pStyle w:val="PARA"/>
        <w:numPr>
          <w:ilvl w:val="0"/>
          <w:numId w:val="0"/>
        </w:numPr>
      </w:pPr>
      <w:r w:rsidRPr="007B062C">
        <w:t xml:space="preserve">The use of herbicides containing </w:t>
      </w:r>
      <w:proofErr w:type="spellStart"/>
      <w:r w:rsidRPr="007B062C">
        <w:t>glufosinate</w:t>
      </w:r>
      <w:proofErr w:type="spellEnd"/>
      <w:r w:rsidRPr="007B062C">
        <w:t xml:space="preserve"> ammonium on the Liberty Link</w:t>
      </w:r>
      <w:r w:rsidRPr="007B062C">
        <w:rPr>
          <w:vertAlign w:val="superscript"/>
        </w:rPr>
        <w:t>®</w:t>
      </w:r>
      <w:r w:rsidRPr="007B062C">
        <w:t xml:space="preserve"> Cotton is subject to regulation by the APVMA. Bayer has a research permit for use of </w:t>
      </w:r>
      <w:proofErr w:type="spellStart"/>
      <w:r w:rsidRPr="007B062C">
        <w:t>glufosinate</w:t>
      </w:r>
      <w:proofErr w:type="spellEnd"/>
      <w:r w:rsidRPr="007B062C">
        <w:t xml:space="preserve"> ammonium in current cotton trials involving this GMO, and the APVMA is currently assessing an application from Bayer to register Liberty</w:t>
      </w:r>
      <w:r w:rsidRPr="007B062C">
        <w:rPr>
          <w:vertAlign w:val="superscript"/>
        </w:rPr>
        <w:t>®</w:t>
      </w:r>
      <w:r w:rsidRPr="007B062C">
        <w:t xml:space="preserve"> 150 Herbicide for the control of various weeds in Liberty Link</w:t>
      </w:r>
      <w:r w:rsidRPr="007B062C">
        <w:rPr>
          <w:vertAlign w:val="superscript"/>
        </w:rPr>
        <w:t xml:space="preserve">® </w:t>
      </w:r>
      <w:r w:rsidRPr="007B062C">
        <w:t>Cotton.</w:t>
      </w:r>
    </w:p>
    <w:p w:rsidR="00846D71" w:rsidRPr="007B062C" w:rsidRDefault="00846D71" w:rsidP="00846D71">
      <w:pPr>
        <w:pStyle w:val="Heading2"/>
        <w:tabs>
          <w:tab w:val="left" w:pos="1701"/>
        </w:tabs>
      </w:pPr>
      <w:bookmarkStart w:id="42" w:name="_Toc112063950"/>
      <w:bookmarkStart w:id="43" w:name="_Toc112728223"/>
      <w:bookmarkStart w:id="44" w:name="_Toc121209901"/>
      <w:bookmarkStart w:id="45" w:name="_Toc135718535"/>
      <w:bookmarkStart w:id="46" w:name="_Toc136159909"/>
      <w:bookmarkStart w:id="47" w:name="_Toc136343735"/>
      <w:bookmarkStart w:id="48" w:name="_Toc141236857"/>
      <w:bookmarkEnd w:id="41"/>
      <w:r w:rsidRPr="007B062C">
        <w:t>Section 4</w:t>
      </w:r>
      <w:r w:rsidRPr="007B062C">
        <w:tab/>
        <w:t>Conclusions of the RARMP</w:t>
      </w:r>
      <w:bookmarkEnd w:id="42"/>
      <w:bookmarkEnd w:id="43"/>
      <w:bookmarkEnd w:id="44"/>
      <w:bookmarkEnd w:id="45"/>
      <w:bookmarkEnd w:id="46"/>
      <w:bookmarkEnd w:id="47"/>
      <w:bookmarkEnd w:id="48"/>
    </w:p>
    <w:p w:rsidR="00846D71" w:rsidRPr="007B062C" w:rsidRDefault="00846D71" w:rsidP="00846D71">
      <w:pPr>
        <w:pStyle w:val="PARA"/>
        <w:numPr>
          <w:ilvl w:val="0"/>
          <w:numId w:val="0"/>
        </w:numPr>
      </w:pPr>
      <w:r w:rsidRPr="007B062C">
        <w:t xml:space="preserve">The risk assessment concludes that this commercial release of herbicide tolerant GM cotton poses </w:t>
      </w:r>
      <w:r w:rsidRPr="007B062C">
        <w:rPr>
          <w:b/>
          <w:bCs/>
        </w:rPr>
        <w:t>negligible</w:t>
      </w:r>
      <w:r w:rsidRPr="007B062C">
        <w:t xml:space="preserve"> risks to the health and safety of people and the environment </w:t>
      </w:r>
      <w:proofErr w:type="gramStart"/>
      <w:r w:rsidRPr="007B062C">
        <w:t>as a result</w:t>
      </w:r>
      <w:proofErr w:type="gramEnd"/>
      <w:r w:rsidRPr="007B062C">
        <w:t xml:space="preserve"> of gene technology. </w:t>
      </w:r>
    </w:p>
    <w:p w:rsidR="004771EC" w:rsidRDefault="00846D71" w:rsidP="00795A07">
      <w:pPr>
        <w:pStyle w:val="PARA"/>
        <w:numPr>
          <w:ilvl w:val="0"/>
          <w:numId w:val="0"/>
        </w:numPr>
      </w:pPr>
      <w:r w:rsidRPr="007B062C">
        <w:t xml:space="preserve">The risk management plan concludes that the negligible risks do not require specific risk treatment measures. Licence conditions that have been imposed relate to ongoing licence holder suitability; auditing and monitoring provisions; reporting requirements, including </w:t>
      </w:r>
      <w:proofErr w:type="gramStart"/>
      <w:r w:rsidRPr="007B062C">
        <w:t>a compliance</w:t>
      </w:r>
      <w:proofErr w:type="gramEnd"/>
      <w:r w:rsidRPr="007B062C">
        <w:t xml:space="preserve"> plan, annual report and other relevant information; and a suitable detection methodology.</w:t>
      </w:r>
      <w:r w:rsidR="00795A07">
        <w:t xml:space="preserve"> </w:t>
      </w:r>
    </w:p>
    <w:p w:rsidR="004771EC" w:rsidRDefault="004771EC"/>
    <w:sectPr w:rsidR="004771EC">
      <w:headerReference w:type="default" r:id="rId9"/>
      <w:headerReference w:type="first" r:id="rId10"/>
      <w:footerReference w:type="first" r:id="rId11"/>
      <w:pgSz w:w="11906" w:h="16838" w:code="9"/>
      <w:pgMar w:top="1134" w:right="1418" w:bottom="1134" w:left="1418" w:header="720"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D71" w:rsidRDefault="00846D71">
      <w:r>
        <w:separator/>
      </w:r>
    </w:p>
  </w:endnote>
  <w:endnote w:type="continuationSeparator" w:id="0">
    <w:p w:rsidR="00846D71" w:rsidRDefault="0084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W1)">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C" w:rsidRPr="004771EC" w:rsidRDefault="004771EC">
    <w:pPr>
      <w:pBdr>
        <w:top w:val="single" w:sz="8" w:space="1" w:color="auto"/>
      </w:pBdr>
      <w:jc w:val="center"/>
      <w:rPr>
        <w:rFonts w:ascii="Times New (W1)" w:hAnsi="Times New (W1)"/>
        <w:noProof/>
        <w:sz w:val="14"/>
        <w:szCs w:val="14"/>
      </w:rPr>
    </w:pPr>
    <w:r w:rsidRPr="004771EC">
      <w:rPr>
        <w:rFonts w:ascii="Times New (W1)" w:hAnsi="Times New (W1)"/>
        <w:noProof/>
        <w:sz w:val="14"/>
        <w:szCs w:val="14"/>
      </w:rPr>
      <w:t xml:space="preserve">Address: MDP 54 </w:t>
    </w:r>
    <w:r w:rsidR="00991833">
      <w:rPr>
        <w:rFonts w:ascii="Times New (W1)" w:hAnsi="Times New (W1)"/>
        <w:noProof/>
        <w:sz w:val="14"/>
        <w:szCs w:val="14"/>
      </w:rPr>
      <w:t>G</w:t>
    </w:r>
    <w:r w:rsidRPr="004771EC">
      <w:rPr>
        <w:rFonts w:ascii="Times New (W1)" w:hAnsi="Times New (W1)"/>
        <w:noProof/>
        <w:sz w:val="14"/>
        <w:szCs w:val="14"/>
      </w:rPr>
      <w:t>PO Box 9848 Canberra ACT 2601  Website: www.ogtr.gov.au</w:t>
    </w:r>
  </w:p>
  <w:p w:rsidR="004771EC" w:rsidRDefault="004771EC">
    <w:pPr>
      <w:pStyle w:val="Footer"/>
      <w:jc w:val="center"/>
      <w:rPr>
        <w:rFonts w:ascii="Times New (W1)" w:hAnsi="Times New (W1)"/>
        <w:noProof/>
        <w:sz w:val="14"/>
        <w:szCs w:val="14"/>
      </w:rPr>
    </w:pPr>
    <w:r w:rsidRPr="004771EC">
      <w:rPr>
        <w:rFonts w:ascii="Times New (W1)" w:hAnsi="Times New (W1)"/>
        <w:noProof/>
        <w:sz w:val="14"/>
        <w:szCs w:val="14"/>
      </w:rPr>
      <w:t>Telephone: 1800 181 030  Facsimile: 02 6271 4202</w:t>
    </w:r>
  </w:p>
  <w:p w:rsidR="0037421E" w:rsidRPr="004771EC" w:rsidRDefault="0037421E">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D71" w:rsidRDefault="00846D71">
      <w:r>
        <w:separator/>
      </w:r>
    </w:p>
  </w:footnote>
  <w:footnote w:type="continuationSeparator" w:id="0">
    <w:p w:rsidR="00846D71" w:rsidRDefault="00846D71">
      <w:r>
        <w:continuationSeparator/>
      </w:r>
    </w:p>
  </w:footnote>
  <w:footnote w:id="1">
    <w:p w:rsidR="00846D71" w:rsidRPr="005B7268" w:rsidRDefault="00846D71" w:rsidP="00846D71">
      <w:pPr>
        <w:pStyle w:val="PARA"/>
        <w:numPr>
          <w:ilvl w:val="0"/>
          <w:numId w:val="0"/>
        </w:numPr>
        <w:rPr>
          <w:rFonts w:ascii="Times New (W1)" w:hAnsi="Times New (W1)" w:cs="Times New (W1)"/>
          <w:color w:val="000000"/>
        </w:rPr>
      </w:pPr>
      <w:r>
        <w:rPr>
          <w:rStyle w:val="FootnoteReference"/>
        </w:rPr>
        <w:footnoteRef/>
      </w:r>
      <w:r>
        <w:t xml:space="preserve"> </w:t>
      </w:r>
      <w:r w:rsidRPr="00183D4B">
        <w:rPr>
          <w:sz w:val="20"/>
          <w:szCs w:val="20"/>
        </w:rPr>
        <w:t xml:space="preserve">More information on the assessment of licence applications and copies of the </w:t>
      </w:r>
      <w:r w:rsidRPr="00183D4B">
        <w:rPr>
          <w:i/>
          <w:iCs/>
          <w:sz w:val="20"/>
          <w:szCs w:val="20"/>
        </w:rPr>
        <w:t>Risk Analysis Framework</w:t>
      </w:r>
      <w:r w:rsidRPr="00183D4B">
        <w:rPr>
          <w:sz w:val="20"/>
          <w:szCs w:val="20"/>
        </w:rPr>
        <w:t xml:space="preserve"> are available from the Office of the Gene Technology Regulator (OGTR). Free call 1800 181 030 or at &lt;</w:t>
      </w:r>
      <w:r w:rsidRPr="00183D4B">
        <w:rPr>
          <w:sz w:val="20"/>
          <w:szCs w:val="20"/>
          <w:u w:val="single"/>
        </w:rPr>
        <w:t>http://www.ogtr.gov.au/ir/process.htm</w:t>
      </w:r>
      <w:r w:rsidRPr="00183D4B">
        <w:rPr>
          <w:sz w:val="20"/>
          <w:szCs w:val="20"/>
        </w:rPr>
        <w:t>&gt; and &lt;</w:t>
      </w:r>
      <w:r w:rsidRPr="00183D4B">
        <w:rPr>
          <w:sz w:val="20"/>
          <w:szCs w:val="20"/>
          <w:u w:val="single"/>
        </w:rPr>
        <w:t>http://www.ogtr.gov.au/pdf/public/ raffinal2.2.pdf</w:t>
      </w:r>
      <w:r w:rsidRPr="00183D4B">
        <w:rPr>
          <w:sz w:val="20"/>
          <w:szCs w:val="20"/>
        </w:rPr>
        <w:t>&gt; respectively.</w:t>
      </w:r>
    </w:p>
    <w:p w:rsidR="00846D71" w:rsidRDefault="00846D71" w:rsidP="00846D71">
      <w:pPr>
        <w:pStyle w:val="PARA"/>
        <w:numPr>
          <w:ilvl w:val="0"/>
          <w:numId w:val="0"/>
        </w:numPr>
      </w:pPr>
    </w:p>
  </w:footnote>
  <w:footnote w:id="2">
    <w:p w:rsidR="00846D71" w:rsidRDefault="00846D71" w:rsidP="00846D71">
      <w:pPr>
        <w:pStyle w:val="PARA"/>
        <w:numPr>
          <w:ilvl w:val="0"/>
          <w:numId w:val="0"/>
        </w:numPr>
      </w:pPr>
      <w:r w:rsidRPr="00452F77">
        <w:rPr>
          <w:rStyle w:val="FootnoteReference"/>
        </w:rPr>
        <w:footnoteRef/>
      </w:r>
      <w:r w:rsidRPr="00452F77">
        <w:t xml:space="preserve"> </w:t>
      </w:r>
      <w:r w:rsidRPr="00E9027F">
        <w:rPr>
          <w:sz w:val="20"/>
          <w:szCs w:val="20"/>
        </w:rPr>
        <w:t xml:space="preserve">More information on Australia’s integrated regulatory framework for gene technology is contained in the </w:t>
      </w:r>
      <w:r w:rsidRPr="00E9027F">
        <w:rPr>
          <w:i/>
          <w:iCs/>
          <w:sz w:val="20"/>
          <w:szCs w:val="20"/>
        </w:rPr>
        <w:t>Risk Analysis Framework</w:t>
      </w:r>
      <w:r w:rsidRPr="00E9027F">
        <w:rPr>
          <w:sz w:val="20"/>
          <w:szCs w:val="20"/>
        </w:rPr>
        <w:t xml:space="preserve"> available from the Office of the Gene Technology Regulator (OGTR). Free call 1800 181 030 or at &lt;http://www.ogtr.gov.au/pdf/public/ raffinal2.2.pdf</w:t>
      </w:r>
      <w:r w:rsidRPr="00E9027F" w:rsidDel="005B7268">
        <w:rPr>
          <w:sz w:val="20"/>
          <w:szCs w:val="20"/>
        </w:rPr>
        <w:t xml:space="preserve"> </w:t>
      </w:r>
      <w:r w:rsidRPr="00E9027F">
        <w:rPr>
          <w:sz w:val="20"/>
          <w:szCs w:val="20"/>
        </w:rP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C" w:rsidRDefault="004771E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C" w:rsidRDefault="00846D71">
    <w:pPr>
      <w:pStyle w:val="Header"/>
    </w:pPr>
    <w:r>
      <w:rPr>
        <w:noProof/>
        <w:lang w:eastAsia="en-AU"/>
      </w:rPr>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2352675" cy="1219200"/>
          <wp:effectExtent l="0" t="0" r="9525" b="0"/>
          <wp:wrapTopAndBottom/>
          <wp:docPr id="2" name="Picture 1"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15E29"/>
    <w:multiLevelType w:val="singleLevel"/>
    <w:tmpl w:val="AEE88B82"/>
    <w:lvl w:ilvl="0">
      <w:start w:val="1"/>
      <w:numFmt w:val="decimal"/>
      <w:pStyle w:val="PARA"/>
      <w:lvlText w:val="%1."/>
      <w:lvlJc w:val="left"/>
      <w:pPr>
        <w:tabs>
          <w:tab w:val="num" w:pos="360"/>
        </w:tabs>
      </w:pPr>
      <w:rPr>
        <w:rFonts w:cs="Times New Roman"/>
        <w:b w:val="0"/>
        <w:bCs w:val="0"/>
        <w:i w:val="0"/>
        <w:iCs w:val="0"/>
      </w:rPr>
    </w:lvl>
  </w:abstractNum>
  <w:abstractNum w:abstractNumId="1">
    <w:nsid w:val="4FF414CF"/>
    <w:multiLevelType w:val="hybridMultilevel"/>
    <w:tmpl w:val="0F62685E"/>
    <w:lvl w:ilvl="0" w:tplc="8AB81BBA">
      <w:start w:val="1"/>
      <w:numFmt w:val="bullet"/>
      <w:lvlText w:val=""/>
      <w:lvlJc w:val="left"/>
      <w:pPr>
        <w:tabs>
          <w:tab w:val="num" w:pos="170"/>
        </w:tabs>
        <w:ind w:left="170" w:hanging="170"/>
      </w:pPr>
      <w:rPr>
        <w:rFonts w:ascii="Symbol" w:hAnsi="Symbol" w:hint="default"/>
      </w:rPr>
    </w:lvl>
    <w:lvl w:ilvl="1" w:tplc="0C090019">
      <w:start w:val="1"/>
      <w:numFmt w:val="bullet"/>
      <w:lvlText w:val="o"/>
      <w:lvlJc w:val="left"/>
      <w:pPr>
        <w:tabs>
          <w:tab w:val="num" w:pos="1080"/>
        </w:tabs>
        <w:ind w:left="1080" w:hanging="360"/>
      </w:pPr>
      <w:rPr>
        <w:rFonts w:ascii="Courier New" w:hAnsi="Courier New" w:hint="default"/>
      </w:rPr>
    </w:lvl>
    <w:lvl w:ilvl="2" w:tplc="0C09001B">
      <w:start w:val="1"/>
      <w:numFmt w:val="bullet"/>
      <w:lvlText w:val=""/>
      <w:lvlJc w:val="left"/>
      <w:pPr>
        <w:tabs>
          <w:tab w:val="num" w:pos="1800"/>
        </w:tabs>
        <w:ind w:left="1800" w:hanging="360"/>
      </w:pPr>
      <w:rPr>
        <w:rFonts w:ascii="Wingdings" w:hAnsi="Wingdings" w:hint="default"/>
      </w:rPr>
    </w:lvl>
    <w:lvl w:ilvl="3" w:tplc="0C09000F">
      <w:start w:val="1"/>
      <w:numFmt w:val="bullet"/>
      <w:lvlText w:val=""/>
      <w:lvlJc w:val="left"/>
      <w:pPr>
        <w:tabs>
          <w:tab w:val="num" w:pos="2520"/>
        </w:tabs>
        <w:ind w:left="2520" w:hanging="360"/>
      </w:pPr>
      <w:rPr>
        <w:rFonts w:ascii="Symbol" w:hAnsi="Symbol" w:hint="default"/>
      </w:rPr>
    </w:lvl>
    <w:lvl w:ilvl="4" w:tplc="0C090019">
      <w:start w:val="1"/>
      <w:numFmt w:val="bullet"/>
      <w:lvlText w:val="o"/>
      <w:lvlJc w:val="left"/>
      <w:pPr>
        <w:tabs>
          <w:tab w:val="num" w:pos="3240"/>
        </w:tabs>
        <w:ind w:left="3240" w:hanging="360"/>
      </w:pPr>
      <w:rPr>
        <w:rFonts w:ascii="Courier New" w:hAnsi="Courier New" w:hint="default"/>
      </w:rPr>
    </w:lvl>
    <w:lvl w:ilvl="5" w:tplc="0C09001B">
      <w:start w:val="1"/>
      <w:numFmt w:val="bullet"/>
      <w:lvlText w:val=""/>
      <w:lvlJc w:val="left"/>
      <w:pPr>
        <w:tabs>
          <w:tab w:val="num" w:pos="3960"/>
        </w:tabs>
        <w:ind w:left="3960" w:hanging="360"/>
      </w:pPr>
      <w:rPr>
        <w:rFonts w:ascii="Wingdings" w:hAnsi="Wingdings" w:hint="default"/>
      </w:rPr>
    </w:lvl>
    <w:lvl w:ilvl="6" w:tplc="0C09000F">
      <w:start w:val="1"/>
      <w:numFmt w:val="bullet"/>
      <w:lvlText w:val=""/>
      <w:lvlJc w:val="left"/>
      <w:pPr>
        <w:tabs>
          <w:tab w:val="num" w:pos="4680"/>
        </w:tabs>
        <w:ind w:left="4680" w:hanging="360"/>
      </w:pPr>
      <w:rPr>
        <w:rFonts w:ascii="Symbol" w:hAnsi="Symbol" w:hint="default"/>
      </w:rPr>
    </w:lvl>
    <w:lvl w:ilvl="7" w:tplc="0C090019">
      <w:start w:val="1"/>
      <w:numFmt w:val="bullet"/>
      <w:lvlText w:val="o"/>
      <w:lvlJc w:val="left"/>
      <w:pPr>
        <w:tabs>
          <w:tab w:val="num" w:pos="5400"/>
        </w:tabs>
        <w:ind w:left="5400" w:hanging="360"/>
      </w:pPr>
      <w:rPr>
        <w:rFonts w:ascii="Courier New" w:hAnsi="Courier New" w:hint="default"/>
      </w:rPr>
    </w:lvl>
    <w:lvl w:ilvl="8" w:tplc="0C09001B">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71"/>
    <w:rsid w:val="000321A2"/>
    <w:rsid w:val="0037421E"/>
    <w:rsid w:val="004771EC"/>
    <w:rsid w:val="004C2135"/>
    <w:rsid w:val="006904B8"/>
    <w:rsid w:val="00795A07"/>
    <w:rsid w:val="0082164D"/>
    <w:rsid w:val="00846D71"/>
    <w:rsid w:val="00991833"/>
    <w:rsid w:val="009A1FFD"/>
    <w:rsid w:val="00B13620"/>
    <w:rsid w:val="00F10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D71"/>
    <w:pPr>
      <w:spacing w:after="200" w:line="276" w:lineRule="auto"/>
    </w:pPr>
    <w:rPr>
      <w:rFonts w:eastAsiaTheme="minorHAnsi" w:cstheme="minorBidi"/>
      <w:sz w:val="24"/>
      <w:szCs w:val="22"/>
      <w:lang w:eastAsia="en-US"/>
    </w:rPr>
  </w:style>
  <w:style w:type="paragraph" w:styleId="Heading1">
    <w:name w:val="heading 1"/>
    <w:aliases w:val="c"/>
    <w:basedOn w:val="Normal"/>
    <w:next w:val="Normal"/>
    <w:link w:val="Heading1Char"/>
    <w:uiPriority w:val="99"/>
    <w:qFormat/>
    <w:rsid w:val="00846D71"/>
    <w:pPr>
      <w:keepNext/>
      <w:tabs>
        <w:tab w:val="left" w:pos="1843"/>
      </w:tabs>
      <w:spacing w:before="120" w:after="120"/>
      <w:ind w:left="1843" w:hanging="1843"/>
      <w:outlineLvl w:val="0"/>
    </w:pPr>
    <w:rPr>
      <w:b/>
      <w:bCs/>
      <w:caps/>
      <w:sz w:val="28"/>
      <w:szCs w:val="28"/>
    </w:rPr>
  </w:style>
  <w:style w:type="paragraph" w:styleId="Heading2">
    <w:name w:val="heading 2"/>
    <w:basedOn w:val="Normal"/>
    <w:next w:val="Normal"/>
    <w:link w:val="Heading2Char"/>
    <w:uiPriority w:val="99"/>
    <w:qFormat/>
    <w:rsid w:val="00846D71"/>
    <w:pPr>
      <w:keepNext/>
      <w:tabs>
        <w:tab w:val="left" w:pos="1418"/>
      </w:tabs>
      <w:spacing w:before="120" w:after="120"/>
      <w:ind w:left="1418" w:hanging="1418"/>
      <w:outlineLvl w:val="1"/>
    </w:pPr>
    <w:rPr>
      <w:b/>
      <w:bCs/>
      <w:smallCaps/>
      <w:sz w:val="27"/>
      <w:szCs w:val="27"/>
    </w:rPr>
  </w:style>
  <w:style w:type="paragraph" w:styleId="Heading3">
    <w:name w:val="heading 3"/>
    <w:basedOn w:val="Normal"/>
    <w:next w:val="Normal"/>
    <w:link w:val="Heading3Char"/>
    <w:uiPriority w:val="99"/>
    <w:qFormat/>
    <w:rsid w:val="00846D71"/>
    <w:pPr>
      <w:keepNext/>
      <w:tabs>
        <w:tab w:val="left" w:pos="1418"/>
      </w:tabs>
      <w:spacing w:before="120" w:after="120"/>
      <w:ind w:left="1418" w:hanging="1418"/>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1Char">
    <w:name w:val="Heading 1 Char"/>
    <w:aliases w:val="c Char"/>
    <w:basedOn w:val="DefaultParagraphFont"/>
    <w:link w:val="Heading1"/>
    <w:uiPriority w:val="99"/>
    <w:rsid w:val="00846D71"/>
    <w:rPr>
      <w:rFonts w:eastAsiaTheme="minorHAnsi" w:cstheme="minorBidi"/>
      <w:b/>
      <w:bCs/>
      <w:caps/>
      <w:sz w:val="28"/>
      <w:szCs w:val="28"/>
      <w:lang w:eastAsia="en-US"/>
    </w:rPr>
  </w:style>
  <w:style w:type="character" w:customStyle="1" w:styleId="Heading2Char">
    <w:name w:val="Heading 2 Char"/>
    <w:basedOn w:val="DefaultParagraphFont"/>
    <w:link w:val="Heading2"/>
    <w:uiPriority w:val="99"/>
    <w:rsid w:val="00846D71"/>
    <w:rPr>
      <w:rFonts w:eastAsiaTheme="minorHAnsi" w:cstheme="minorBidi"/>
      <w:b/>
      <w:bCs/>
      <w:smallCaps/>
      <w:sz w:val="27"/>
      <w:szCs w:val="27"/>
      <w:lang w:eastAsia="en-US"/>
    </w:rPr>
  </w:style>
  <w:style w:type="character" w:customStyle="1" w:styleId="Heading3Char">
    <w:name w:val="Heading 3 Char"/>
    <w:basedOn w:val="DefaultParagraphFont"/>
    <w:link w:val="Heading3"/>
    <w:uiPriority w:val="99"/>
    <w:rsid w:val="00846D71"/>
    <w:rPr>
      <w:rFonts w:eastAsiaTheme="minorHAnsi" w:cstheme="minorBidi"/>
      <w:b/>
      <w:bCs/>
      <w:sz w:val="24"/>
      <w:szCs w:val="22"/>
      <w:lang w:eastAsia="en-US"/>
    </w:rPr>
  </w:style>
  <w:style w:type="paragraph" w:customStyle="1" w:styleId="BlockTextPlain">
    <w:name w:val="Block Text Plain"/>
    <w:basedOn w:val="Normal"/>
    <w:uiPriority w:val="99"/>
    <w:rsid w:val="00846D71"/>
    <w:pPr>
      <w:spacing w:before="120" w:after="120"/>
    </w:pPr>
  </w:style>
  <w:style w:type="paragraph" w:customStyle="1" w:styleId="PARA">
    <w:name w:val="PARA"/>
    <w:basedOn w:val="Normal"/>
    <w:link w:val="PARAChar"/>
    <w:uiPriority w:val="99"/>
    <w:rsid w:val="00846D71"/>
    <w:pPr>
      <w:numPr>
        <w:numId w:val="1"/>
      </w:numPr>
      <w:tabs>
        <w:tab w:val="left" w:pos="567"/>
        <w:tab w:val="left" w:pos="1134"/>
      </w:tabs>
      <w:spacing w:before="120" w:after="120"/>
    </w:pPr>
  </w:style>
  <w:style w:type="character" w:styleId="FootnoteReference">
    <w:name w:val="footnote reference"/>
    <w:basedOn w:val="DefaultParagraphFont"/>
    <w:uiPriority w:val="99"/>
    <w:rsid w:val="00846D71"/>
    <w:rPr>
      <w:rFonts w:cs="Times New Roman"/>
      <w:vertAlign w:val="superscript"/>
    </w:rPr>
  </w:style>
  <w:style w:type="table" w:styleId="TableGrid">
    <w:name w:val="Table Grid"/>
    <w:basedOn w:val="TableNormal"/>
    <w:uiPriority w:val="99"/>
    <w:rsid w:val="00846D7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Char">
    <w:name w:val="PARA Char"/>
    <w:basedOn w:val="DefaultParagraphFont"/>
    <w:link w:val="PARA"/>
    <w:uiPriority w:val="99"/>
    <w:locked/>
    <w:rsid w:val="00846D71"/>
    <w:rPr>
      <w:rFonts w:eastAsiaTheme="minorHAnsi" w:cstheme="minorBidi"/>
      <w:sz w:val="24"/>
      <w:szCs w:val="22"/>
      <w:lang w:eastAsia="en-US"/>
    </w:rPr>
  </w:style>
  <w:style w:type="paragraph" w:customStyle="1" w:styleId="RIGHTLIST">
    <w:name w:val="RIGHTLIST"/>
    <w:basedOn w:val="Normal"/>
    <w:uiPriority w:val="99"/>
    <w:rsid w:val="00846D71"/>
    <w:pPr>
      <w:keepNext/>
      <w:tabs>
        <w:tab w:val="right" w:leader="dot" w:pos="9356"/>
      </w:tabs>
      <w:spacing w:before="80" w:after="40"/>
      <w:ind w:right="-6"/>
    </w:pPr>
    <w:rPr>
      <w:sz w:val="22"/>
    </w:rPr>
  </w:style>
  <w:style w:type="paragraph" w:styleId="BalloonText">
    <w:name w:val="Balloon Text"/>
    <w:basedOn w:val="Normal"/>
    <w:link w:val="BalloonTextChar"/>
    <w:rsid w:val="00795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95A07"/>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D71"/>
    <w:pPr>
      <w:spacing w:after="200" w:line="276" w:lineRule="auto"/>
    </w:pPr>
    <w:rPr>
      <w:rFonts w:eastAsiaTheme="minorHAnsi" w:cstheme="minorBidi"/>
      <w:sz w:val="24"/>
      <w:szCs w:val="22"/>
      <w:lang w:eastAsia="en-US"/>
    </w:rPr>
  </w:style>
  <w:style w:type="paragraph" w:styleId="Heading1">
    <w:name w:val="heading 1"/>
    <w:aliases w:val="c"/>
    <w:basedOn w:val="Normal"/>
    <w:next w:val="Normal"/>
    <w:link w:val="Heading1Char"/>
    <w:uiPriority w:val="99"/>
    <w:qFormat/>
    <w:rsid w:val="00846D71"/>
    <w:pPr>
      <w:keepNext/>
      <w:tabs>
        <w:tab w:val="left" w:pos="1843"/>
      </w:tabs>
      <w:spacing w:before="120" w:after="120"/>
      <w:ind w:left="1843" w:hanging="1843"/>
      <w:outlineLvl w:val="0"/>
    </w:pPr>
    <w:rPr>
      <w:b/>
      <w:bCs/>
      <w:caps/>
      <w:sz w:val="28"/>
      <w:szCs w:val="28"/>
    </w:rPr>
  </w:style>
  <w:style w:type="paragraph" w:styleId="Heading2">
    <w:name w:val="heading 2"/>
    <w:basedOn w:val="Normal"/>
    <w:next w:val="Normal"/>
    <w:link w:val="Heading2Char"/>
    <w:uiPriority w:val="99"/>
    <w:qFormat/>
    <w:rsid w:val="00846D71"/>
    <w:pPr>
      <w:keepNext/>
      <w:tabs>
        <w:tab w:val="left" w:pos="1418"/>
      </w:tabs>
      <w:spacing w:before="120" w:after="120"/>
      <w:ind w:left="1418" w:hanging="1418"/>
      <w:outlineLvl w:val="1"/>
    </w:pPr>
    <w:rPr>
      <w:b/>
      <w:bCs/>
      <w:smallCaps/>
      <w:sz w:val="27"/>
      <w:szCs w:val="27"/>
    </w:rPr>
  </w:style>
  <w:style w:type="paragraph" w:styleId="Heading3">
    <w:name w:val="heading 3"/>
    <w:basedOn w:val="Normal"/>
    <w:next w:val="Normal"/>
    <w:link w:val="Heading3Char"/>
    <w:uiPriority w:val="99"/>
    <w:qFormat/>
    <w:rsid w:val="00846D71"/>
    <w:pPr>
      <w:keepNext/>
      <w:tabs>
        <w:tab w:val="left" w:pos="1418"/>
      </w:tabs>
      <w:spacing w:before="120" w:after="120"/>
      <w:ind w:left="1418" w:hanging="1418"/>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1Char">
    <w:name w:val="Heading 1 Char"/>
    <w:aliases w:val="c Char"/>
    <w:basedOn w:val="DefaultParagraphFont"/>
    <w:link w:val="Heading1"/>
    <w:uiPriority w:val="99"/>
    <w:rsid w:val="00846D71"/>
    <w:rPr>
      <w:rFonts w:eastAsiaTheme="minorHAnsi" w:cstheme="minorBidi"/>
      <w:b/>
      <w:bCs/>
      <w:caps/>
      <w:sz w:val="28"/>
      <w:szCs w:val="28"/>
      <w:lang w:eastAsia="en-US"/>
    </w:rPr>
  </w:style>
  <w:style w:type="character" w:customStyle="1" w:styleId="Heading2Char">
    <w:name w:val="Heading 2 Char"/>
    <w:basedOn w:val="DefaultParagraphFont"/>
    <w:link w:val="Heading2"/>
    <w:uiPriority w:val="99"/>
    <w:rsid w:val="00846D71"/>
    <w:rPr>
      <w:rFonts w:eastAsiaTheme="minorHAnsi" w:cstheme="minorBidi"/>
      <w:b/>
      <w:bCs/>
      <w:smallCaps/>
      <w:sz w:val="27"/>
      <w:szCs w:val="27"/>
      <w:lang w:eastAsia="en-US"/>
    </w:rPr>
  </w:style>
  <w:style w:type="character" w:customStyle="1" w:styleId="Heading3Char">
    <w:name w:val="Heading 3 Char"/>
    <w:basedOn w:val="DefaultParagraphFont"/>
    <w:link w:val="Heading3"/>
    <w:uiPriority w:val="99"/>
    <w:rsid w:val="00846D71"/>
    <w:rPr>
      <w:rFonts w:eastAsiaTheme="minorHAnsi" w:cstheme="minorBidi"/>
      <w:b/>
      <w:bCs/>
      <w:sz w:val="24"/>
      <w:szCs w:val="22"/>
      <w:lang w:eastAsia="en-US"/>
    </w:rPr>
  </w:style>
  <w:style w:type="paragraph" w:customStyle="1" w:styleId="BlockTextPlain">
    <w:name w:val="Block Text Plain"/>
    <w:basedOn w:val="Normal"/>
    <w:uiPriority w:val="99"/>
    <w:rsid w:val="00846D71"/>
    <w:pPr>
      <w:spacing w:before="120" w:after="120"/>
    </w:pPr>
  </w:style>
  <w:style w:type="paragraph" w:customStyle="1" w:styleId="PARA">
    <w:name w:val="PARA"/>
    <w:basedOn w:val="Normal"/>
    <w:link w:val="PARAChar"/>
    <w:uiPriority w:val="99"/>
    <w:rsid w:val="00846D71"/>
    <w:pPr>
      <w:numPr>
        <w:numId w:val="1"/>
      </w:numPr>
      <w:tabs>
        <w:tab w:val="left" w:pos="567"/>
        <w:tab w:val="left" w:pos="1134"/>
      </w:tabs>
      <w:spacing w:before="120" w:after="120"/>
    </w:pPr>
  </w:style>
  <w:style w:type="character" w:styleId="FootnoteReference">
    <w:name w:val="footnote reference"/>
    <w:basedOn w:val="DefaultParagraphFont"/>
    <w:uiPriority w:val="99"/>
    <w:rsid w:val="00846D71"/>
    <w:rPr>
      <w:rFonts w:cs="Times New Roman"/>
      <w:vertAlign w:val="superscript"/>
    </w:rPr>
  </w:style>
  <w:style w:type="table" w:styleId="TableGrid">
    <w:name w:val="Table Grid"/>
    <w:basedOn w:val="TableNormal"/>
    <w:uiPriority w:val="99"/>
    <w:rsid w:val="00846D7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Char">
    <w:name w:val="PARA Char"/>
    <w:basedOn w:val="DefaultParagraphFont"/>
    <w:link w:val="PARA"/>
    <w:uiPriority w:val="99"/>
    <w:locked/>
    <w:rsid w:val="00846D71"/>
    <w:rPr>
      <w:rFonts w:eastAsiaTheme="minorHAnsi" w:cstheme="minorBidi"/>
      <w:sz w:val="24"/>
      <w:szCs w:val="22"/>
      <w:lang w:eastAsia="en-US"/>
    </w:rPr>
  </w:style>
  <w:style w:type="paragraph" w:customStyle="1" w:styleId="RIGHTLIST">
    <w:name w:val="RIGHTLIST"/>
    <w:basedOn w:val="Normal"/>
    <w:uiPriority w:val="99"/>
    <w:rsid w:val="00846D71"/>
    <w:pPr>
      <w:keepNext/>
      <w:tabs>
        <w:tab w:val="right" w:leader="dot" w:pos="9356"/>
      </w:tabs>
      <w:spacing w:before="80" w:after="40"/>
      <w:ind w:right="-6"/>
    </w:pPr>
    <w:rPr>
      <w:sz w:val="22"/>
    </w:rPr>
  </w:style>
  <w:style w:type="paragraph" w:styleId="BalloonText">
    <w:name w:val="Balloon Text"/>
    <w:basedOn w:val="Normal"/>
    <w:link w:val="BalloonTextChar"/>
    <w:rsid w:val="00795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95A07"/>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20Templates\OGTR\OGT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OGTR Letterhead.dot</Template>
  <TotalTime>13</TotalTime>
  <Pages>7</Pages>
  <Words>2361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Letterhead</vt:lpstr>
    </vt:vector>
  </TitlesOfParts>
  <Company>H&amp;A</Company>
  <LinksUpToDate>false</LinksUpToDate>
  <CharactersWithSpaces>16246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Adam Yvonne</dc:creator>
  <cp:lastModifiedBy>Adam Yvonne</cp:lastModifiedBy>
  <cp:revision>2</cp:revision>
  <cp:lastPrinted>2004-02-09T05:05:00Z</cp:lastPrinted>
  <dcterms:created xsi:type="dcterms:W3CDTF">2015-04-20T03:27:00Z</dcterms:created>
  <dcterms:modified xsi:type="dcterms:W3CDTF">2015-04-20T03:40:00Z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LINKTEK-LINK-ID">
    <vt:lpwstr>8866-A939-AE50-16B2</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