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11" w:rsidRPr="007D52A9" w:rsidRDefault="00E07F11" w:rsidP="00E07F11">
      <w:pPr>
        <w:pStyle w:val="BodyText3"/>
        <w:ind w:right="-170"/>
        <w:rPr>
          <w:rFonts w:ascii="Arial" w:hAnsi="Arial" w:cs="Arial"/>
          <w:sz w:val="24"/>
          <w:szCs w:val="24"/>
        </w:rPr>
      </w:pPr>
      <w:r w:rsidRPr="007D52A9">
        <w:rPr>
          <w:rFonts w:ascii="Arial" w:hAnsi="Arial" w:cs="Arial"/>
          <w:sz w:val="24"/>
          <w:szCs w:val="24"/>
        </w:rPr>
        <w:t xml:space="preserve">Questions &amp; Answers on licence DIR 118 </w:t>
      </w:r>
      <w:r>
        <w:rPr>
          <w:rFonts w:ascii="Arial" w:hAnsi="Arial" w:cs="Arial"/>
          <w:sz w:val="24"/>
          <w:szCs w:val="24"/>
        </w:rPr>
        <w:t>–</w:t>
      </w:r>
      <w:r w:rsidRPr="007D52A9">
        <w:rPr>
          <w:rFonts w:ascii="Arial" w:hAnsi="Arial" w:cs="Arial"/>
          <w:sz w:val="24"/>
          <w:szCs w:val="24"/>
        </w:rPr>
        <w:br/>
        <w:t xml:space="preserve">commercial release of genetically modified </w:t>
      </w:r>
      <w:r>
        <w:rPr>
          <w:rFonts w:ascii="Arial" w:hAnsi="Arial" w:cs="Arial"/>
          <w:sz w:val="24"/>
          <w:szCs w:val="24"/>
        </w:rPr>
        <w:t xml:space="preserve">pima </w:t>
      </w:r>
      <w:r w:rsidRPr="007D52A9">
        <w:rPr>
          <w:rFonts w:ascii="Arial" w:hAnsi="Arial" w:cs="Arial"/>
          <w:sz w:val="24"/>
          <w:szCs w:val="24"/>
        </w:rPr>
        <w:t>cotton</w:t>
      </w:r>
    </w:p>
    <w:p w:rsidR="00E07F11" w:rsidRPr="00CB6654" w:rsidRDefault="00E07F11" w:rsidP="00E07F11">
      <w:pPr>
        <w:pStyle w:val="Heading3"/>
      </w:pPr>
      <w:r>
        <w:t>What is this licence for</w:t>
      </w:r>
      <w:r w:rsidRPr="00CB6654">
        <w:t>?</w:t>
      </w:r>
    </w:p>
    <w:p w:rsidR="00E07F11" w:rsidRDefault="00E07F11" w:rsidP="00E07F11">
      <w:pPr>
        <w:pStyle w:val="Para"/>
        <w:spacing w:after="60"/>
      </w:pPr>
      <w:r>
        <w:t>Monsanto Australia</w:t>
      </w:r>
      <w:r w:rsidRPr="00CB6654">
        <w:t xml:space="preserve"> Ltd (</w:t>
      </w:r>
      <w:r>
        <w:t>Monsanto</w:t>
      </w:r>
      <w:r w:rsidRPr="00CB6654">
        <w:t xml:space="preserve">) </w:t>
      </w:r>
      <w:r>
        <w:t>has received</w:t>
      </w:r>
      <w:r w:rsidRPr="00CB6654">
        <w:t xml:space="preserve"> approval for the commercial release of </w:t>
      </w:r>
      <w:r>
        <w:t xml:space="preserve">a herbicide tolerant </w:t>
      </w:r>
      <w:r w:rsidRPr="00CB6654">
        <w:t xml:space="preserve">genetically modified (GM) </w:t>
      </w:r>
      <w:r>
        <w:t>cotton, referred to as Roundup Ready Flex</w:t>
      </w:r>
      <w:r w:rsidRPr="00210069">
        <w:rPr>
          <w:vertAlign w:val="superscript"/>
        </w:rPr>
        <w:t>®</w:t>
      </w:r>
      <w:r>
        <w:t xml:space="preserve"> pima cotton </w:t>
      </w:r>
      <w:r w:rsidRPr="00FD7A3A">
        <w:t>(Roundup Ready Flex</w:t>
      </w:r>
      <w:r w:rsidRPr="00FD7A3A">
        <w:rPr>
          <w:vertAlign w:val="superscript"/>
        </w:rPr>
        <w:t>®</w:t>
      </w:r>
      <w:r w:rsidRPr="00FD7A3A">
        <w:t xml:space="preserve"> MON 88913)</w:t>
      </w:r>
      <w:r>
        <w:t>. T</w:t>
      </w:r>
      <w:r w:rsidDel="00122167">
        <w:t>he GM cotton</w:t>
      </w:r>
      <w:r>
        <w:t xml:space="preserve"> may be grown in all cotton</w:t>
      </w:r>
      <w:r w:rsidRPr="00CB6654">
        <w:t xml:space="preserve"> growing areas of Australia</w:t>
      </w:r>
      <w:r>
        <w:t xml:space="preserve"> </w:t>
      </w:r>
      <w:r w:rsidDel="00122167">
        <w:t>and its</w:t>
      </w:r>
      <w:r w:rsidRPr="00CB6654" w:rsidDel="00122167">
        <w:t xml:space="preserve"> products </w:t>
      </w:r>
      <w:r>
        <w:t>can</w:t>
      </w:r>
      <w:r w:rsidRPr="00CB6654" w:rsidDel="00122167">
        <w:t xml:space="preserve"> enter general commerce, including use in human food and animal feed.</w:t>
      </w:r>
      <w:r>
        <w:t xml:space="preserve"> </w:t>
      </w:r>
    </w:p>
    <w:p w:rsidR="00E07F11" w:rsidRDefault="00E07F11" w:rsidP="00E07F11">
      <w:pPr>
        <w:pStyle w:val="Heading3"/>
      </w:pPr>
      <w:r>
        <w:t>What is pima cotton?</w:t>
      </w:r>
    </w:p>
    <w:p w:rsidR="00E07F11" w:rsidRDefault="00E07F11" w:rsidP="00E07F11">
      <w:pPr>
        <w:pStyle w:val="Para"/>
        <w:spacing w:after="60"/>
      </w:pPr>
      <w:r w:rsidRPr="00EC5EA0">
        <w:t>Pima cotton is the common name for on</w:t>
      </w:r>
      <w:r>
        <w:t>e</w:t>
      </w:r>
      <w:r w:rsidRPr="00EC5EA0">
        <w:t xml:space="preserve"> species of cultivated cotton,</w:t>
      </w:r>
      <w:r>
        <w:rPr>
          <w:i/>
        </w:rPr>
        <w:t xml:space="preserve"> Gossypium barbadense</w:t>
      </w:r>
      <w:r>
        <w:t xml:space="preserve">. </w:t>
      </w:r>
      <w:r w:rsidRPr="00A90156">
        <w:t xml:space="preserve">Pima </w:t>
      </w:r>
      <w:r>
        <w:t>cotton, also known as</w:t>
      </w:r>
      <w:r w:rsidRPr="00A90156">
        <w:t xml:space="preserve"> Extra Long Staple </w:t>
      </w:r>
      <w:r>
        <w:t xml:space="preserve">or Egyptian </w:t>
      </w:r>
      <w:r w:rsidRPr="00A90156">
        <w:t>cotton</w:t>
      </w:r>
      <w:r>
        <w:t>,</w:t>
      </w:r>
      <w:r w:rsidRPr="00A90156">
        <w:t xml:space="preserve"> produces a superior fibre </w:t>
      </w:r>
      <w:r>
        <w:t>to</w:t>
      </w:r>
      <w:r w:rsidRPr="00A90156">
        <w:t xml:space="preserve"> the more commonly grown </w:t>
      </w:r>
      <w:r w:rsidRPr="00EC5EA0">
        <w:rPr>
          <w:i/>
        </w:rPr>
        <w:t>G.</w:t>
      </w:r>
      <w:r>
        <w:rPr>
          <w:i/>
        </w:rPr>
        <w:t> </w:t>
      </w:r>
      <w:r w:rsidRPr="00EC5EA0">
        <w:rPr>
          <w:i/>
        </w:rPr>
        <w:t>hirsutum</w:t>
      </w:r>
      <w:r w:rsidRPr="00A90156">
        <w:t xml:space="preserve"> cotton</w:t>
      </w:r>
      <w:r>
        <w:t>. However,</w:t>
      </w:r>
      <w:r w:rsidRPr="00A90156">
        <w:t xml:space="preserve"> due to its lower yield, different climate require</w:t>
      </w:r>
      <w:r>
        <w:t>ments and longer growing season it</w:t>
      </w:r>
      <w:r w:rsidRPr="00A90156">
        <w:t xml:space="preserve"> only constitutes approximately 1% of the total Australian cotton crop</w:t>
      </w:r>
      <w:r>
        <w:t>.</w:t>
      </w:r>
    </w:p>
    <w:p w:rsidR="00E07F11" w:rsidRPr="00134E77" w:rsidRDefault="00E07F11" w:rsidP="00E07F11">
      <w:pPr>
        <w:pStyle w:val="Heading3"/>
      </w:pPr>
      <w:r w:rsidRPr="00134E77">
        <w:t>How has the GM cotton been modified?</w:t>
      </w:r>
    </w:p>
    <w:p w:rsidR="00E07F11" w:rsidDel="00122167" w:rsidRDefault="00E07F11" w:rsidP="00E07F11">
      <w:pPr>
        <w:pStyle w:val="BodyText2"/>
        <w:ind w:right="-285"/>
      </w:pPr>
      <w:r>
        <w:t>Roundup Ready Flex</w:t>
      </w:r>
      <w:r w:rsidRPr="00210069">
        <w:rPr>
          <w:vertAlign w:val="superscript"/>
        </w:rPr>
        <w:t>®</w:t>
      </w:r>
      <w:r>
        <w:t xml:space="preserve"> pima cotton </w:t>
      </w:r>
      <w:r w:rsidRPr="00CB6654">
        <w:t>contains</w:t>
      </w:r>
      <w:r>
        <w:t xml:space="preserve"> two copies of a gene</w:t>
      </w:r>
      <w:r w:rsidRPr="00CB6654">
        <w:t xml:space="preserve"> </w:t>
      </w:r>
      <w:r>
        <w:t xml:space="preserve">from a common soil bacterium conferring tolerance to the herbicide glyphosate. </w:t>
      </w:r>
      <w:r w:rsidRPr="00E61521">
        <w:t>Conventional br</w:t>
      </w:r>
      <w:r>
        <w:t>eeding was used to transfer the</w:t>
      </w:r>
      <w:r w:rsidRPr="00E61521">
        <w:t xml:space="preserve"> genetic modification from</w:t>
      </w:r>
      <w:r>
        <w:t xml:space="preserve"> GM Roundup Ready Flex</w:t>
      </w:r>
      <w:r w:rsidRPr="00EE3554">
        <w:rPr>
          <w:vertAlign w:val="superscript"/>
        </w:rPr>
        <w:t>®</w:t>
      </w:r>
      <w:r>
        <w:t xml:space="preserve"> </w:t>
      </w:r>
      <w:r w:rsidRPr="00E61521">
        <w:rPr>
          <w:i/>
        </w:rPr>
        <w:t>G.</w:t>
      </w:r>
      <w:r>
        <w:rPr>
          <w:i/>
        </w:rPr>
        <w:t> </w:t>
      </w:r>
      <w:r w:rsidRPr="00E61521">
        <w:rPr>
          <w:i/>
        </w:rPr>
        <w:t>hirsutum</w:t>
      </w:r>
      <w:r w:rsidRPr="00E61521">
        <w:t xml:space="preserve"> to </w:t>
      </w:r>
      <w:r w:rsidRPr="00EC5EA0">
        <w:t>pima cotton</w:t>
      </w:r>
      <w:r>
        <w:t xml:space="preserve">. </w:t>
      </w:r>
      <w:r w:rsidRPr="004B3F67">
        <w:t>Roundup Ready Flex</w:t>
      </w:r>
      <w:r w:rsidRPr="00EC5EA0">
        <w:rPr>
          <w:vertAlign w:val="superscript"/>
        </w:rPr>
        <w:t>®</w:t>
      </w:r>
      <w:r w:rsidRPr="004B3F67">
        <w:t xml:space="preserve"> </w:t>
      </w:r>
      <w:r w:rsidRPr="00AB5699">
        <w:rPr>
          <w:i/>
        </w:rPr>
        <w:t xml:space="preserve">G. hirsutum </w:t>
      </w:r>
      <w:r>
        <w:t>is already commercially grown in Australia under licence DIR 066/2006.</w:t>
      </w:r>
    </w:p>
    <w:p w:rsidR="00E07F11" w:rsidRPr="00134E77" w:rsidRDefault="00E07F11" w:rsidP="00E07F11">
      <w:pPr>
        <w:pStyle w:val="Heading3"/>
      </w:pPr>
      <w:r w:rsidRPr="00134E77">
        <w:t xml:space="preserve">What </w:t>
      </w:r>
      <w:r>
        <w:t>is the purpose of the release</w:t>
      </w:r>
      <w:r w:rsidRPr="00134E77">
        <w:t>?</w:t>
      </w:r>
    </w:p>
    <w:p w:rsidR="00E07F11" w:rsidRDefault="00E07F11" w:rsidP="00E07F11">
      <w:pPr>
        <w:pStyle w:val="Paranonumbers"/>
        <w:spacing w:before="60" w:after="100"/>
      </w:pPr>
      <w:r>
        <w:t xml:space="preserve">The purpose of the release is to allow the commercial cultivation of the GM cotton. </w:t>
      </w:r>
      <w:r w:rsidRPr="00134E77">
        <w:t>The introduced genes for herbicide tolerance enable the GM c</w:t>
      </w:r>
      <w:r>
        <w:t xml:space="preserve">otton </w:t>
      </w:r>
      <w:r w:rsidRPr="00134E77">
        <w:t xml:space="preserve">plants to grow in the presence of </w:t>
      </w:r>
      <w:r>
        <w:t>the</w:t>
      </w:r>
      <w:r w:rsidRPr="00134E77">
        <w:t xml:space="preserve"> herbicide</w:t>
      </w:r>
      <w:r>
        <w:t xml:space="preserve"> </w:t>
      </w:r>
      <w:r w:rsidRPr="00134E77">
        <w:t>glyphosate</w:t>
      </w:r>
      <w:r>
        <w:t>, which can</w:t>
      </w:r>
      <w:r w:rsidRPr="00134E77">
        <w:t xml:space="preserve"> be used </w:t>
      </w:r>
      <w:r>
        <w:t>to control weeds</w:t>
      </w:r>
      <w:r w:rsidRPr="00134E77">
        <w:t xml:space="preserve"> in the GM c</w:t>
      </w:r>
      <w:r>
        <w:t>otton</w:t>
      </w:r>
      <w:r w:rsidRPr="00134E77">
        <w:t xml:space="preserve"> </w:t>
      </w:r>
      <w:r w:rsidRPr="00EB1422">
        <w:t xml:space="preserve">crop. </w:t>
      </w:r>
    </w:p>
    <w:p w:rsidR="00E07F11" w:rsidRPr="00EB1422" w:rsidRDefault="00E07F11" w:rsidP="00E07F11">
      <w:pPr>
        <w:pStyle w:val="Heading3"/>
      </w:pPr>
      <w:r w:rsidRPr="00EB1422">
        <w:t xml:space="preserve">Where will this GM </w:t>
      </w:r>
      <w:r>
        <w:t>cotton</w:t>
      </w:r>
      <w:r w:rsidRPr="00EB1422">
        <w:t xml:space="preserve"> be grown?</w:t>
      </w:r>
    </w:p>
    <w:p w:rsidR="00E07F11" w:rsidRDefault="00E07F11" w:rsidP="00E07F11">
      <w:pPr>
        <w:pStyle w:val="BodyText2"/>
        <w:ind w:right="-1"/>
      </w:pPr>
      <w:r w:rsidDel="00122167">
        <w:t xml:space="preserve">As </w:t>
      </w:r>
      <w:r w:rsidRPr="00EC5EA0" w:rsidDel="00122167">
        <w:t>pima cotton</w:t>
      </w:r>
      <w:r w:rsidDel="00122167">
        <w:t xml:space="preserve"> is most suited to western NSW, it is likely that the GM cotton will be grown in this region. However, in the future, expansion could occur into areas in southern Queensland.</w:t>
      </w:r>
      <w:r>
        <w:t xml:space="preserve"> </w:t>
      </w:r>
    </w:p>
    <w:p w:rsidR="00E07F11" w:rsidRPr="00EB1422" w:rsidRDefault="00E07F11" w:rsidP="00E07F11">
      <w:pPr>
        <w:pStyle w:val="BodyText2"/>
        <w:ind w:right="-1"/>
      </w:pPr>
      <w:r w:rsidRPr="00EB1422">
        <w:t>Commercial cultivation of GM c</w:t>
      </w:r>
      <w:r>
        <w:t>otton</w:t>
      </w:r>
      <w:r w:rsidRPr="00EB1422">
        <w:t xml:space="preserve"> may be subject to restrictions in some Australian States and Territories for marketing reasons. It is important to note that these requirements do not relate to protection of human health or the environment, and are a matter for State and Territory governments and industry, not the </w:t>
      </w:r>
      <w:r>
        <w:t xml:space="preserve">Gene Technology </w:t>
      </w:r>
      <w:r w:rsidRPr="00EB1422">
        <w:t>Regulator</w:t>
      </w:r>
      <w:r>
        <w:t xml:space="preserve"> (the Regulator)</w:t>
      </w:r>
      <w:r w:rsidRPr="00EB1422">
        <w:t>. Further information should be obtained from t</w:t>
      </w:r>
      <w:r>
        <w:t>he relevant State or Territory.</w:t>
      </w:r>
    </w:p>
    <w:p w:rsidR="00E07F11" w:rsidRPr="002B3055" w:rsidRDefault="00E07F11" w:rsidP="00E07F11">
      <w:pPr>
        <w:pStyle w:val="Heading3"/>
      </w:pPr>
      <w:r>
        <w:t xml:space="preserve">What </w:t>
      </w:r>
      <w:r w:rsidRPr="00EB1422">
        <w:t xml:space="preserve">controls have been imposed for this </w:t>
      </w:r>
      <w:r>
        <w:t>GM cotton</w:t>
      </w:r>
      <w:r w:rsidRPr="00EB1422">
        <w:t>?</w:t>
      </w:r>
    </w:p>
    <w:p w:rsidR="00E07F11" w:rsidRPr="00EB1422" w:rsidRDefault="00E07F11" w:rsidP="00E07F11">
      <w:pPr>
        <w:pStyle w:val="BodyText2"/>
        <w:spacing w:after="120"/>
        <w:ind w:right="-1"/>
      </w:pPr>
      <w:r w:rsidRPr="00EB1422">
        <w:t>The licence is for an ongoing commercial release. The Regulator has not imposed any specific measures to manage risk, as the risk assessment conclude</w:t>
      </w:r>
      <w:r>
        <w:t>d that this release of GM cotton</w:t>
      </w:r>
      <w:r w:rsidRPr="00EB1422">
        <w:t xml:space="preserve"> poses negligible</w:t>
      </w:r>
      <w:r w:rsidRPr="00EB1422">
        <w:rPr>
          <w:b/>
        </w:rPr>
        <w:t xml:space="preserve"> </w:t>
      </w:r>
      <w:r w:rsidRPr="00EB1422">
        <w:t>risks to the health and safety of people or the environment as a result of gene technology. However, general conditions have been imposed to ensure that there is ongoing oversight of the release.</w:t>
      </w:r>
    </w:p>
    <w:p w:rsidR="00E07F11" w:rsidRPr="00EB1422" w:rsidRDefault="00E07F11" w:rsidP="00E07F11">
      <w:pPr>
        <w:pStyle w:val="Heading3"/>
      </w:pPr>
      <w:r w:rsidRPr="00EB1422">
        <w:t>Want more information?</w:t>
      </w:r>
    </w:p>
    <w:p w:rsidR="00E07F11" w:rsidRPr="00EB1422" w:rsidRDefault="00E07F11" w:rsidP="00E07F11">
      <w:pPr>
        <w:spacing w:before="120" w:after="120"/>
        <w:rPr>
          <w:szCs w:val="24"/>
        </w:rPr>
      </w:pPr>
      <w:r w:rsidRPr="00EB1422">
        <w:rPr>
          <w:szCs w:val="24"/>
        </w:rPr>
        <w:t xml:space="preserve">A number of documents relating to this decision are available on the OGTR website under “What’s New”) or via Freecall 1800 181 030. These documents </w:t>
      </w:r>
      <w:r>
        <w:rPr>
          <w:szCs w:val="24"/>
        </w:rPr>
        <w:t xml:space="preserve">include the finalised RARMP, a </w:t>
      </w:r>
      <w:r w:rsidRPr="00EB1422">
        <w:rPr>
          <w:szCs w:val="24"/>
        </w:rPr>
        <w:t xml:space="preserve">Summary </w:t>
      </w:r>
      <w:r>
        <w:rPr>
          <w:szCs w:val="24"/>
        </w:rPr>
        <w:t>of the RARMP and the</w:t>
      </w:r>
      <w:r w:rsidRPr="00EB1422">
        <w:rPr>
          <w:szCs w:val="24"/>
        </w:rPr>
        <w:t xml:space="preserve"> licence.</w:t>
      </w:r>
    </w:p>
    <w:p w:rsidR="00E07F11" w:rsidRPr="00CB6654" w:rsidRDefault="00E07F11" w:rsidP="00E07F11">
      <w:pPr>
        <w:spacing w:before="360"/>
        <w:jc w:val="center"/>
        <w:rPr>
          <w:b/>
          <w:sz w:val="22"/>
          <w:szCs w:val="22"/>
        </w:rPr>
      </w:pPr>
      <w:r w:rsidRPr="00CB6654">
        <w:rPr>
          <w:b/>
          <w:sz w:val="22"/>
          <w:szCs w:val="22"/>
        </w:rPr>
        <w:t>The Office of the Gene Technology Regulator, MDP 54, GPO Box 9848, Canberra, ACT 2601</w:t>
      </w:r>
    </w:p>
    <w:p w:rsidR="00E07F11" w:rsidRPr="00CB6654" w:rsidRDefault="00E07F11" w:rsidP="00E07F11">
      <w:pPr>
        <w:tabs>
          <w:tab w:val="left" w:pos="851"/>
          <w:tab w:val="center" w:pos="4678"/>
          <w:tab w:val="right" w:pos="8789"/>
        </w:tabs>
        <w:rPr>
          <w:b/>
          <w:sz w:val="22"/>
          <w:szCs w:val="22"/>
        </w:rPr>
      </w:pPr>
      <w:r>
        <w:rPr>
          <w:b/>
          <w:sz w:val="22"/>
          <w:szCs w:val="22"/>
        </w:rPr>
        <w:tab/>
      </w:r>
      <w:r w:rsidRPr="00CB6654">
        <w:rPr>
          <w:b/>
          <w:sz w:val="22"/>
          <w:szCs w:val="22"/>
        </w:rPr>
        <w:t>Telephone: 1800 181 030</w:t>
      </w:r>
      <w:r>
        <w:rPr>
          <w:b/>
          <w:sz w:val="22"/>
          <w:szCs w:val="22"/>
        </w:rPr>
        <w:tab/>
      </w:r>
      <w:r w:rsidRPr="00CB6654">
        <w:rPr>
          <w:b/>
          <w:sz w:val="22"/>
          <w:szCs w:val="22"/>
        </w:rPr>
        <w:t>Facsimile: 02 6271 4202</w:t>
      </w:r>
      <w:r>
        <w:rPr>
          <w:b/>
          <w:sz w:val="22"/>
          <w:szCs w:val="22"/>
        </w:rPr>
        <w:tab/>
      </w:r>
      <w:r w:rsidRPr="00CB6654">
        <w:rPr>
          <w:b/>
          <w:sz w:val="22"/>
          <w:szCs w:val="22"/>
        </w:rPr>
        <w:t xml:space="preserve">E-mail: </w:t>
      </w:r>
      <w:r w:rsidRPr="00CB6654">
        <w:rPr>
          <w:b/>
          <w:sz w:val="22"/>
          <w:szCs w:val="22"/>
          <w:u w:val="single"/>
        </w:rPr>
        <w:t>ogtr</w:t>
      </w:r>
      <w:bookmarkStart w:id="0" w:name="_Hlt531691726"/>
      <w:r w:rsidRPr="00CB6654">
        <w:rPr>
          <w:b/>
          <w:sz w:val="22"/>
          <w:szCs w:val="22"/>
          <w:u w:val="single"/>
        </w:rPr>
        <w:t>@</w:t>
      </w:r>
      <w:bookmarkEnd w:id="0"/>
      <w:r w:rsidRPr="00CB6654">
        <w:rPr>
          <w:b/>
          <w:sz w:val="22"/>
          <w:szCs w:val="22"/>
          <w:u w:val="single"/>
        </w:rPr>
        <w:t>health.gov.au</w:t>
      </w:r>
    </w:p>
    <w:p w:rsidR="00E07F11" w:rsidRPr="002B28D2" w:rsidRDefault="00E07F11" w:rsidP="00E07F11">
      <w:pPr>
        <w:jc w:val="center"/>
        <w:rPr>
          <w:b/>
          <w:sz w:val="22"/>
          <w:szCs w:val="22"/>
        </w:rPr>
      </w:pPr>
      <w:hyperlink r:id="rId4" w:history="1">
        <w:r w:rsidRPr="00CB7E4D">
          <w:rPr>
            <w:rStyle w:val="Hyperlink"/>
            <w:b/>
            <w:sz w:val="22"/>
            <w:szCs w:val="22"/>
          </w:rPr>
          <w:t xml:space="preserve">OGTR Website </w:t>
        </w:r>
      </w:hyperlink>
      <w:r w:rsidRPr="002B28D2">
        <w:rPr>
          <w:b/>
          <w:sz w:val="22"/>
          <w:szCs w:val="22"/>
        </w:rPr>
        <w:t xml:space="preserve"> </w:t>
      </w:r>
      <w:bookmarkStart w:id="1" w:name="_GoBack"/>
      <w:bookmarkEnd w:id="1"/>
    </w:p>
    <w:p w:rsidR="00327DC6" w:rsidRDefault="00327DC6"/>
    <w:sectPr w:rsidR="00327DC6" w:rsidSect="005E22AF">
      <w:footerReference w:type="even" r:id="rId5"/>
      <w:footerReference w:type="default" r:id="rId6"/>
      <w:headerReference w:type="first" r:id="rId7"/>
      <w:pgSz w:w="11906" w:h="16838" w:code="9"/>
      <w:pgMar w:top="1134" w:right="991" w:bottom="567" w:left="1134" w:header="680" w:footer="51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A" w:rsidRPr="00952B4A" w:rsidRDefault="00482811">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end"/>
    </w:r>
  </w:p>
  <w:p w:rsidR="00C720EA" w:rsidRPr="00952B4A" w:rsidRDefault="00482811">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A" w:rsidRPr="00952B4A" w:rsidRDefault="00482811">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Pr>
        <w:rStyle w:val="PageNumber"/>
        <w:noProof/>
        <w:sz w:val="22"/>
        <w:szCs w:val="22"/>
      </w:rPr>
      <w:t>2</w:t>
    </w:r>
    <w:r w:rsidRPr="00952B4A">
      <w:rPr>
        <w:rStyle w:val="PageNumber"/>
        <w:sz w:val="22"/>
        <w:szCs w:val="22"/>
      </w:rPr>
      <w:fldChar w:fldCharType="end"/>
    </w:r>
  </w:p>
  <w:p w:rsidR="00C720EA" w:rsidRPr="00952B4A" w:rsidRDefault="00482811">
    <w:pPr>
      <w:pStyle w:val="Footer"/>
      <w:ind w:right="360"/>
      <w:jc w:val="center"/>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A" w:rsidRPr="00CB6654" w:rsidRDefault="00482811" w:rsidP="00F6647E">
    <w:pPr>
      <w:pBdr>
        <w:bottom w:val="single" w:sz="4" w:space="1" w:color="auto"/>
      </w:pBdr>
      <w:tabs>
        <w:tab w:val="right" w:pos="9639"/>
      </w:tabs>
      <w:rPr>
        <w:sz w:val="22"/>
        <w:szCs w:val="22"/>
      </w:rPr>
    </w:pPr>
    <w:r w:rsidRPr="00CB6654">
      <w:rPr>
        <w:rFonts w:ascii="Arial (W1)" w:hAnsi="Arial (W1)" w:cs="Arial (W1)"/>
        <w:sz w:val="15"/>
        <w:szCs w:val="15"/>
      </w:rPr>
      <w:t xml:space="preserve">Office of the </w:t>
    </w:r>
    <w:r>
      <w:rPr>
        <w:rFonts w:ascii="Arial (W1)" w:hAnsi="Arial (W1)" w:cs="Arial (W1)"/>
        <w:sz w:val="15"/>
        <w:szCs w:val="15"/>
      </w:rPr>
      <w:t xml:space="preserve">Gene Technology Regulator </w:t>
    </w:r>
    <w:r>
      <w:rPr>
        <w:rFonts w:ascii="Arial (W1)" w:hAnsi="Arial (W1)" w:cs="Arial (W1)"/>
        <w:sz w:val="15"/>
        <w:szCs w:val="15"/>
      </w:rPr>
      <w:tab/>
      <w:t>August</w:t>
    </w:r>
    <w:r>
      <w:rPr>
        <w:rFonts w:ascii="Arial (W1)" w:hAnsi="Arial (W1)" w:cs="Arial (W1)"/>
        <w:sz w:val="15"/>
        <w:szCs w:val="15"/>
      </w:rPr>
      <w:t xml:space="preserv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11"/>
    <w:rsid w:val="00327DC6"/>
    <w:rsid w:val="00482811"/>
    <w:rsid w:val="00E0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0138"/>
  <w15:chartTrackingRefBased/>
  <w15:docId w15:val="{BFEB4CB9-1FDD-4A10-AE8C-47647C3F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11"/>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E07F11"/>
    <w:pPr>
      <w:spacing w:before="180" w:after="6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F11"/>
    <w:rPr>
      <w:color w:val="0000FF"/>
      <w:u w:val="single"/>
    </w:rPr>
  </w:style>
  <w:style w:type="character" w:customStyle="1" w:styleId="Heading3Char">
    <w:name w:val="Heading 3 Char"/>
    <w:basedOn w:val="DefaultParagraphFont"/>
    <w:link w:val="Heading3"/>
    <w:rsid w:val="00E07F11"/>
    <w:rPr>
      <w:rFonts w:ascii="Times New Roman" w:eastAsia="Times New Roman" w:hAnsi="Times New Roman" w:cs="Arial"/>
      <w:b/>
      <w:bCs/>
      <w:sz w:val="24"/>
      <w:szCs w:val="24"/>
      <w:lang w:eastAsia="en-AU"/>
    </w:rPr>
  </w:style>
  <w:style w:type="paragraph" w:styleId="BodyText2">
    <w:name w:val="Body Text 2"/>
    <w:basedOn w:val="Normal"/>
    <w:link w:val="BodyText2Char"/>
    <w:rsid w:val="00E07F11"/>
    <w:pPr>
      <w:spacing w:before="120"/>
      <w:ind w:right="-170"/>
    </w:pPr>
  </w:style>
  <w:style w:type="character" w:customStyle="1" w:styleId="BodyText2Char">
    <w:name w:val="Body Text 2 Char"/>
    <w:basedOn w:val="DefaultParagraphFont"/>
    <w:link w:val="BodyText2"/>
    <w:rsid w:val="00E07F11"/>
    <w:rPr>
      <w:rFonts w:ascii="Times New Roman" w:eastAsia="Times New Roman" w:hAnsi="Times New Roman" w:cs="Times New Roman"/>
      <w:sz w:val="24"/>
      <w:szCs w:val="20"/>
      <w:lang w:eastAsia="en-AU"/>
    </w:rPr>
  </w:style>
  <w:style w:type="paragraph" w:styleId="BodyText3">
    <w:name w:val="Body Text 3"/>
    <w:basedOn w:val="Normal"/>
    <w:link w:val="BodyText3Char"/>
    <w:rsid w:val="00E07F11"/>
    <w:pPr>
      <w:spacing w:after="120"/>
      <w:ind w:right="-172"/>
      <w:jc w:val="center"/>
    </w:pPr>
    <w:rPr>
      <w:b/>
      <w:sz w:val="28"/>
    </w:rPr>
  </w:style>
  <w:style w:type="character" w:customStyle="1" w:styleId="BodyText3Char">
    <w:name w:val="Body Text 3 Char"/>
    <w:basedOn w:val="DefaultParagraphFont"/>
    <w:link w:val="BodyText3"/>
    <w:rsid w:val="00E07F11"/>
    <w:rPr>
      <w:rFonts w:ascii="Times New Roman" w:eastAsia="Times New Roman" w:hAnsi="Times New Roman" w:cs="Times New Roman"/>
      <w:b/>
      <w:sz w:val="28"/>
      <w:szCs w:val="20"/>
      <w:lang w:eastAsia="en-AU"/>
    </w:rPr>
  </w:style>
  <w:style w:type="paragraph" w:styleId="Footer">
    <w:name w:val="footer"/>
    <w:basedOn w:val="Normal"/>
    <w:link w:val="FooterChar"/>
    <w:rsid w:val="00E07F11"/>
    <w:pPr>
      <w:tabs>
        <w:tab w:val="center" w:pos="4153"/>
        <w:tab w:val="right" w:pos="8306"/>
      </w:tabs>
    </w:pPr>
  </w:style>
  <w:style w:type="character" w:customStyle="1" w:styleId="FooterChar">
    <w:name w:val="Footer Char"/>
    <w:basedOn w:val="DefaultParagraphFont"/>
    <w:link w:val="Footer"/>
    <w:rsid w:val="00E07F11"/>
    <w:rPr>
      <w:rFonts w:ascii="Times New Roman" w:eastAsia="Times New Roman" w:hAnsi="Times New Roman" w:cs="Times New Roman"/>
      <w:sz w:val="24"/>
      <w:szCs w:val="20"/>
      <w:lang w:eastAsia="en-AU"/>
    </w:rPr>
  </w:style>
  <w:style w:type="character" w:styleId="PageNumber">
    <w:name w:val="page number"/>
    <w:basedOn w:val="DefaultParagraphFont"/>
    <w:rsid w:val="00E07F11"/>
  </w:style>
  <w:style w:type="paragraph" w:customStyle="1" w:styleId="Para">
    <w:name w:val="Para"/>
    <w:basedOn w:val="Normal"/>
    <w:link w:val="ParaCharChar"/>
    <w:rsid w:val="00E07F11"/>
    <w:pPr>
      <w:tabs>
        <w:tab w:val="num" w:pos="510"/>
      </w:tabs>
      <w:spacing w:before="120" w:after="120"/>
    </w:pPr>
    <w:rPr>
      <w:szCs w:val="24"/>
    </w:rPr>
  </w:style>
  <w:style w:type="character" w:customStyle="1" w:styleId="ParaCharChar">
    <w:name w:val="Para Char Char"/>
    <w:link w:val="Para"/>
    <w:locked/>
    <w:rsid w:val="00E07F11"/>
    <w:rPr>
      <w:rFonts w:ascii="Times New Roman" w:eastAsia="Times New Roman" w:hAnsi="Times New Roman" w:cs="Times New Roman"/>
      <w:sz w:val="24"/>
      <w:szCs w:val="24"/>
      <w:lang w:eastAsia="en-AU"/>
    </w:rPr>
  </w:style>
  <w:style w:type="paragraph" w:customStyle="1" w:styleId="Paranonumbers">
    <w:name w:val="Para no numbers"/>
    <w:basedOn w:val="Normal"/>
    <w:link w:val="ParanonumbersChar"/>
    <w:rsid w:val="00E07F11"/>
    <w:pPr>
      <w:spacing w:before="120" w:after="120"/>
    </w:pPr>
    <w:rPr>
      <w:szCs w:val="24"/>
    </w:rPr>
  </w:style>
  <w:style w:type="character" w:customStyle="1" w:styleId="ParanonumbersChar">
    <w:name w:val="Para no numbers Char"/>
    <w:link w:val="Paranonumbers"/>
    <w:locked/>
    <w:rsid w:val="00E07F1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ttp://www.ogtr.gov.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DIR 118 0 Questions and Answers on licence decision</vt:lpstr>
    </vt:vector>
  </TitlesOfParts>
  <Company>Department of Health</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118 0 Questions and Answers on licence decision</dc:title>
  <dc:subject/>
  <dc:creator>OGTR.Voicemail@health.gov.au</dc:creator>
  <cp:keywords/>
  <dc:description/>
  <cp:lastModifiedBy>SMITH, Justine</cp:lastModifiedBy>
  <cp:revision>2</cp:revision>
  <dcterms:created xsi:type="dcterms:W3CDTF">2020-11-30T21:06:00Z</dcterms:created>
  <dcterms:modified xsi:type="dcterms:W3CDTF">2020-11-30T21:08:00Z</dcterms:modified>
</cp:coreProperties>
</file>