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BE" w:rsidRDefault="00877ABE" w:rsidP="00877ABE">
      <w:pPr>
        <w:rPr>
          <w:rFonts w:ascii="Arial" w:eastAsia="MS Mincho" w:hAnsi="Arial" w:cs="Arial"/>
          <w:kern w:val="32"/>
          <w:sz w:val="36"/>
          <w:szCs w:val="36"/>
          <w:lang w:eastAsia="en-AU"/>
        </w:rPr>
      </w:pPr>
      <w:bookmarkStart w:id="0" w:name="_Toc397698930"/>
      <w:bookmarkStart w:id="1" w:name="_Toc209859545"/>
      <w:bookmarkStart w:id="2" w:name="_Toc236620543"/>
      <w:bookmarkStart w:id="3" w:name="_Toc259790166"/>
      <w:bookmarkStart w:id="4" w:name="_Toc198434571"/>
      <w:bookmarkStart w:id="5" w:name="_Toc167164262"/>
      <w:bookmarkStart w:id="6" w:name="_Toc174765844"/>
      <w:bookmarkStart w:id="7" w:name="_GoBack"/>
      <w:bookmarkEnd w:id="7"/>
    </w:p>
    <w:p w:rsidR="00877ABE" w:rsidRPr="00827157" w:rsidRDefault="00827157" w:rsidP="00827157">
      <w:pPr>
        <w:jc w:val="right"/>
      </w:pPr>
      <w:r w:rsidRPr="00827157">
        <w:t>18 December 2014</w:t>
      </w:r>
    </w:p>
    <w:p w:rsidR="00827157" w:rsidRPr="00827157" w:rsidRDefault="00827157" w:rsidP="00827157">
      <w:pPr>
        <w:jc w:val="right"/>
        <w:rPr>
          <w:rFonts w:ascii="Arial" w:eastAsia="MS Mincho" w:hAnsi="Arial" w:cs="Arial"/>
          <w:kern w:val="32"/>
          <w:sz w:val="22"/>
          <w:szCs w:val="36"/>
          <w:lang w:eastAsia="en-AU"/>
        </w:rPr>
      </w:pPr>
    </w:p>
    <w:p w:rsidR="00465704" w:rsidRPr="00465704" w:rsidRDefault="00465704" w:rsidP="00465704">
      <w:pPr>
        <w:jc w:val="center"/>
        <w:rPr>
          <w:rFonts w:ascii="Arial" w:hAnsi="Arial" w:cs="Arial"/>
          <w:b/>
          <w:sz w:val="36"/>
          <w:szCs w:val="36"/>
        </w:rPr>
      </w:pPr>
      <w:bookmarkStart w:id="8" w:name="_Toc404868315"/>
      <w:bookmarkEnd w:id="0"/>
      <w:bookmarkEnd w:id="1"/>
      <w:bookmarkEnd w:id="2"/>
      <w:bookmarkEnd w:id="3"/>
      <w:bookmarkEnd w:id="4"/>
      <w:bookmarkEnd w:id="5"/>
      <w:bookmarkEnd w:id="6"/>
      <w:r w:rsidRPr="00465704">
        <w:rPr>
          <w:rFonts w:ascii="Arial" w:hAnsi="Arial" w:cs="Arial"/>
          <w:b/>
          <w:sz w:val="36"/>
          <w:szCs w:val="36"/>
        </w:rPr>
        <w:t>Summary of the Risk Assessment and Risk Management Plan</w:t>
      </w:r>
      <w:bookmarkEnd w:id="8"/>
    </w:p>
    <w:p w:rsidR="00465704" w:rsidRPr="00465704" w:rsidRDefault="00465704" w:rsidP="00465704">
      <w:pPr>
        <w:jc w:val="center"/>
        <w:rPr>
          <w:rFonts w:ascii="Arial" w:hAnsi="Arial" w:cs="Arial"/>
          <w:b/>
          <w:sz w:val="32"/>
          <w:szCs w:val="36"/>
        </w:rPr>
      </w:pPr>
      <w:proofErr w:type="gramStart"/>
      <w:r w:rsidRPr="00465704">
        <w:rPr>
          <w:rFonts w:ascii="Arial" w:hAnsi="Arial" w:cs="Arial"/>
          <w:b/>
          <w:sz w:val="32"/>
          <w:szCs w:val="36"/>
        </w:rPr>
        <w:t>for</w:t>
      </w:r>
      <w:proofErr w:type="gramEnd"/>
    </w:p>
    <w:p w:rsidR="00465704" w:rsidRPr="006404A8" w:rsidRDefault="00465704" w:rsidP="00465704">
      <w:pPr>
        <w:jc w:val="center"/>
        <w:rPr>
          <w:caps/>
          <w:sz w:val="36"/>
          <w:szCs w:val="36"/>
        </w:rPr>
      </w:pPr>
      <w:r>
        <w:rPr>
          <w:rFonts w:ascii="Arial" w:hAnsi="Arial" w:cs="Arial"/>
          <w:b/>
          <w:sz w:val="36"/>
          <w:szCs w:val="36"/>
        </w:rPr>
        <w:t>Licence Application No. DIR 125</w:t>
      </w:r>
    </w:p>
    <w:p w:rsidR="00465704" w:rsidRDefault="00465704" w:rsidP="00465704">
      <w:pPr>
        <w:pStyle w:val="Paranonumbers"/>
      </w:pPr>
      <w:bookmarkStart w:id="9" w:name="_Toc274904725"/>
      <w:bookmarkStart w:id="10" w:name="_Toc291151775"/>
    </w:p>
    <w:p w:rsidR="00465704" w:rsidRPr="006404A8" w:rsidRDefault="00465704" w:rsidP="00465704">
      <w:pPr>
        <w:pStyle w:val="2RARMP"/>
        <w:numPr>
          <w:ilvl w:val="0"/>
          <w:numId w:val="0"/>
        </w:numPr>
      </w:pPr>
      <w:bookmarkStart w:id="11" w:name="_Toc404868316"/>
      <w:bookmarkEnd w:id="9"/>
      <w:bookmarkEnd w:id="10"/>
      <w:r>
        <w:t>Decision</w:t>
      </w:r>
      <w:bookmarkEnd w:id="11"/>
    </w:p>
    <w:p w:rsidR="00465704" w:rsidRDefault="00465704" w:rsidP="00465704">
      <w:r w:rsidRPr="006404A8">
        <w:t xml:space="preserve">The Gene Technology Regulator (the Regulator) </w:t>
      </w:r>
      <w:r>
        <w:t xml:space="preserve">has decided to issue a </w:t>
      </w:r>
      <w:r w:rsidRPr="006404A8">
        <w:t>licence</w:t>
      </w:r>
      <w:r>
        <w:t xml:space="preserve"> for this</w:t>
      </w:r>
      <w:r w:rsidRPr="006404A8">
        <w:t xml:space="preserve"> application for </w:t>
      </w:r>
      <w:r>
        <w:t>dealings with</w:t>
      </w:r>
      <w:r w:rsidRPr="006404A8">
        <w:t xml:space="preserve"> a genetically modified (GM) </w:t>
      </w:r>
      <w:r w:rsidRPr="00A3336A">
        <w:rPr>
          <w:i/>
        </w:rPr>
        <w:t>E. coli</w:t>
      </w:r>
      <w:r>
        <w:t xml:space="preserve"> chicken </w:t>
      </w:r>
      <w:r w:rsidRPr="006404A8">
        <w:t xml:space="preserve">vaccine. </w:t>
      </w:r>
      <w:proofErr w:type="spellStart"/>
      <w:r w:rsidRPr="00D608A6">
        <w:t>Zoetis</w:t>
      </w:r>
      <w:proofErr w:type="spellEnd"/>
      <w:r w:rsidRPr="00D608A6">
        <w:t xml:space="preserve"> Australia Research &amp; Manufacturing Pty Ltd (</w:t>
      </w:r>
      <w:proofErr w:type="spellStart"/>
      <w:r w:rsidRPr="00D608A6">
        <w:t>Zoetis</w:t>
      </w:r>
      <w:proofErr w:type="spellEnd"/>
      <w:r w:rsidRPr="00D608A6">
        <w:t>)</w:t>
      </w:r>
      <w:r>
        <w:t xml:space="preserve"> has been approved</w:t>
      </w:r>
      <w:r w:rsidRPr="00D608A6">
        <w:t xml:space="preserve"> </w:t>
      </w:r>
      <w:r w:rsidRPr="006404A8">
        <w:t xml:space="preserve">under the </w:t>
      </w:r>
      <w:r w:rsidRPr="006404A8">
        <w:rPr>
          <w:i/>
        </w:rPr>
        <w:t>Gene Technology Act 2000</w:t>
      </w:r>
      <w:r w:rsidRPr="006404A8">
        <w:t xml:space="preserve"> (the Act</w:t>
      </w:r>
      <w:r>
        <w:t xml:space="preserve">) to commercially release </w:t>
      </w:r>
      <w:r w:rsidRPr="00D608A6">
        <w:t xml:space="preserve">the </w:t>
      </w:r>
      <w:r>
        <w:t xml:space="preserve">GM chicken </w:t>
      </w:r>
      <w:r w:rsidRPr="00D608A6">
        <w:t>vaccine for the purposes of import, transport, storage and disposal within Australia</w:t>
      </w:r>
      <w:r>
        <w:t>.</w:t>
      </w:r>
      <w:r w:rsidRPr="00FE65D3">
        <w:t xml:space="preserve"> </w:t>
      </w:r>
      <w:r>
        <w:t xml:space="preserve">Subject to approval by other relevant authorities as set out below, </w:t>
      </w:r>
      <w:proofErr w:type="spellStart"/>
      <w:r w:rsidRPr="00D608A6">
        <w:t>Zoetis</w:t>
      </w:r>
      <w:proofErr w:type="spellEnd"/>
      <w:r w:rsidRPr="00D608A6">
        <w:t xml:space="preserve"> </w:t>
      </w:r>
      <w:r>
        <w:t xml:space="preserve">is permitted </w:t>
      </w:r>
      <w:r w:rsidRPr="00D608A6">
        <w:t xml:space="preserve">to import </w:t>
      </w:r>
      <w:r>
        <w:t>the GM chicken vaccine</w:t>
      </w:r>
      <w:r w:rsidRPr="00D608A6">
        <w:t xml:space="preserve"> into Australia, and distribute it to commercial poultry</w:t>
      </w:r>
      <w:r>
        <w:t xml:space="preserve"> farms.</w:t>
      </w:r>
    </w:p>
    <w:p w:rsidR="00465704" w:rsidRDefault="00465704" w:rsidP="00465704">
      <w:pPr>
        <w:pStyle w:val="Paranonumbers"/>
      </w:pPr>
      <w:r>
        <w:t>Every veterinary vaccine</w:t>
      </w:r>
      <w:r w:rsidRPr="006404A8">
        <w:t xml:space="preserve"> for sale in Australia </w:t>
      </w:r>
      <w:r>
        <w:t xml:space="preserve">is </w:t>
      </w:r>
      <w:r w:rsidRPr="006404A8">
        <w:t>required to be assessed for quality, safety and efficacy</w:t>
      </w:r>
      <w:r>
        <w:t xml:space="preserve">. </w:t>
      </w:r>
      <w:r w:rsidRPr="00F85EFD">
        <w:t xml:space="preserve">The Australian Pesticide and Veterinary Medicines Authority (APVMA) </w:t>
      </w:r>
      <w:proofErr w:type="gramStart"/>
      <w:r w:rsidRPr="00F85EFD">
        <w:t>administers</w:t>
      </w:r>
      <w:proofErr w:type="gramEnd"/>
      <w:r w:rsidRPr="00F85EFD">
        <w:t xml:space="preserve"> the </w:t>
      </w:r>
      <w:r w:rsidRPr="00EF3BF4">
        <w:rPr>
          <w:i/>
        </w:rPr>
        <w:t>Agricultural and Veterinary Chemicals Code Act 1994</w:t>
      </w:r>
      <w:r w:rsidRPr="00F85EFD">
        <w:t xml:space="preserve"> to regulate agriculture and veterinary chemic</w:t>
      </w:r>
      <w:r>
        <w:t>al products, including vaccines</w:t>
      </w:r>
      <w:r w:rsidRPr="00D608A6">
        <w:t xml:space="preserve">. </w:t>
      </w:r>
      <w:r>
        <w:t xml:space="preserve">Therefore, in addition to approval by the Regulator, </w:t>
      </w:r>
      <w:proofErr w:type="spellStart"/>
      <w:r>
        <w:t>Zoetis</w:t>
      </w:r>
      <w:proofErr w:type="spellEnd"/>
      <w:r>
        <w:t xml:space="preserve"> will require approval from APVMA for use of the GM vaccine. </w:t>
      </w:r>
    </w:p>
    <w:p w:rsidR="00465704" w:rsidRDefault="00465704" w:rsidP="00465704">
      <w:pPr>
        <w:pStyle w:val="Paranonumbers"/>
      </w:pPr>
      <w:r>
        <w:t>Furthermore, i</w:t>
      </w:r>
      <w:r w:rsidRPr="00912C06">
        <w:t xml:space="preserve">mport of the GM chicken vaccine is </w:t>
      </w:r>
      <w:r>
        <w:t xml:space="preserve">also </w:t>
      </w:r>
      <w:r w:rsidRPr="00912C06">
        <w:t xml:space="preserve">subject </w:t>
      </w:r>
      <w:r>
        <w:t xml:space="preserve">to </w:t>
      </w:r>
      <w:r w:rsidRPr="00912C06">
        <w:t>regulation by the Department of Agriculture</w:t>
      </w:r>
      <w:r>
        <w:t xml:space="preserve"> which administers </w:t>
      </w:r>
      <w:r w:rsidRPr="00912C06">
        <w:t xml:space="preserve">Australian biosecurity conditions for the importation of biological products under the </w:t>
      </w:r>
      <w:r w:rsidRPr="00EF3BF4">
        <w:rPr>
          <w:i/>
        </w:rPr>
        <w:t>Quarantine Act, 1908</w:t>
      </w:r>
      <w:r w:rsidRPr="00912C06">
        <w:t>. These products include animal or microbial derived products such as foods, therapeutics, laboratory materials and vaccines (including GM vaccines).</w:t>
      </w:r>
      <w:r w:rsidRPr="00D608A6">
        <w:t xml:space="preserve"> </w:t>
      </w:r>
      <w:r>
        <w:t xml:space="preserve">Therefore, in addition to approval by the Regulator, </w:t>
      </w:r>
      <w:proofErr w:type="spellStart"/>
      <w:r>
        <w:t>Zoetis</w:t>
      </w:r>
      <w:proofErr w:type="spellEnd"/>
      <w:r>
        <w:t xml:space="preserve"> will require approval from the Department of Agriculture for import of the GM vaccine.</w:t>
      </w:r>
    </w:p>
    <w:p w:rsidR="00465704" w:rsidRPr="006404A8" w:rsidRDefault="00465704" w:rsidP="00465704">
      <w:pPr>
        <w:pStyle w:val="Paranonumbers"/>
      </w:pPr>
      <w:r w:rsidRPr="006404A8">
        <w:t xml:space="preserve">The Regulator has </w:t>
      </w:r>
      <w:r>
        <w:t>released</w:t>
      </w:r>
      <w:r w:rsidRPr="006404A8">
        <w:t xml:space="preserve"> a science based Risk Assessment and Risk Management Plan (RARMP) </w:t>
      </w:r>
      <w:r>
        <w:t>in accordance with the requirements of the Act and corresponding state and territory legislation, that was finalised following consultation with a wide range of experts, agencies and authorities, and the public. The RARMP concludes that this</w:t>
      </w:r>
      <w:r w:rsidRPr="006404A8">
        <w:t xml:space="preserve"> </w:t>
      </w:r>
      <w:r>
        <w:t>commercial release</w:t>
      </w:r>
      <w:r w:rsidRPr="006404A8">
        <w:t xml:space="preserve"> poses negligible risks to human health and safety and the environment. </w:t>
      </w:r>
      <w:r>
        <w:t>General</w:t>
      </w:r>
      <w:r w:rsidRPr="006404A8">
        <w:t xml:space="preserve"> licence conditions have been </w:t>
      </w:r>
      <w:r>
        <w:t>imposed</w:t>
      </w:r>
      <w:r w:rsidRPr="006404A8">
        <w:t xml:space="preserve"> for the </w:t>
      </w:r>
      <w:r>
        <w:t>release to ensure that there is ongoing oversight of the licence.</w:t>
      </w:r>
    </w:p>
    <w:p w:rsidR="00465704" w:rsidRDefault="00465704" w:rsidP="00465704">
      <w:pPr>
        <w:rPr>
          <w:rFonts w:ascii="Arial" w:hAnsi="Arial" w:cs="Arial"/>
          <w:b/>
          <w:bCs/>
          <w:i/>
          <w:iCs/>
          <w:sz w:val="28"/>
          <w:szCs w:val="28"/>
        </w:rPr>
      </w:pPr>
      <w:r>
        <w:br w:type="page"/>
      </w:r>
    </w:p>
    <w:p w:rsidR="00465704" w:rsidRPr="006404A8" w:rsidRDefault="00465704" w:rsidP="00465704">
      <w:pPr>
        <w:pStyle w:val="2RARMP"/>
        <w:numPr>
          <w:ilvl w:val="0"/>
          <w:numId w:val="0"/>
        </w:numPr>
      </w:pPr>
      <w:bookmarkStart w:id="12" w:name="_Toc404868317"/>
      <w:r w:rsidRPr="006404A8">
        <w:lastRenderedPageBreak/>
        <w:t>The application</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summary information about the licence application at a glance. The table has 8 rows, one each for Application Number, Applicant, Project title, Parent organism, Introduced or modified genes and modified traits, Proposed locations, Proposed release dates, and proposed activities."/>
      </w:tblPr>
      <w:tblGrid>
        <w:gridCol w:w="2603"/>
        <w:gridCol w:w="5919"/>
      </w:tblGrid>
      <w:tr w:rsidR="00465704" w:rsidRPr="006404A8" w:rsidDel="0041500E" w:rsidTr="00184565">
        <w:trPr>
          <w:cantSplit/>
        </w:trPr>
        <w:tc>
          <w:tcPr>
            <w:tcW w:w="2802" w:type="dxa"/>
            <w:shd w:val="clear" w:color="auto" w:fill="auto"/>
          </w:tcPr>
          <w:p w:rsidR="00465704" w:rsidRPr="006404A8" w:rsidDel="0041500E" w:rsidRDefault="00465704" w:rsidP="00184565">
            <w:pPr>
              <w:spacing w:before="60" w:after="60"/>
            </w:pPr>
            <w:r w:rsidRPr="006404A8">
              <w:t>Application number</w:t>
            </w:r>
          </w:p>
        </w:tc>
        <w:tc>
          <w:tcPr>
            <w:tcW w:w="6598" w:type="dxa"/>
            <w:shd w:val="clear" w:color="auto" w:fill="auto"/>
          </w:tcPr>
          <w:p w:rsidR="00465704" w:rsidRPr="006404A8" w:rsidDel="0041500E" w:rsidRDefault="00465704" w:rsidP="00184565">
            <w:pPr>
              <w:spacing w:before="60" w:after="60"/>
            </w:pPr>
            <w:r>
              <w:t>DIR 125</w:t>
            </w:r>
          </w:p>
        </w:tc>
      </w:tr>
      <w:tr w:rsidR="00465704" w:rsidRPr="006404A8" w:rsidDel="0041500E" w:rsidTr="00184565">
        <w:trPr>
          <w:cantSplit/>
        </w:trPr>
        <w:tc>
          <w:tcPr>
            <w:tcW w:w="2802" w:type="dxa"/>
            <w:shd w:val="clear" w:color="auto" w:fill="auto"/>
          </w:tcPr>
          <w:p w:rsidR="00465704" w:rsidRPr="006404A8" w:rsidDel="0041500E" w:rsidRDefault="00465704" w:rsidP="00184565">
            <w:pPr>
              <w:spacing w:before="60" w:after="60"/>
            </w:pPr>
            <w:r w:rsidRPr="006404A8">
              <w:t>Applicant</w:t>
            </w:r>
          </w:p>
        </w:tc>
        <w:tc>
          <w:tcPr>
            <w:tcW w:w="6598" w:type="dxa"/>
            <w:shd w:val="clear" w:color="auto" w:fill="auto"/>
          </w:tcPr>
          <w:p w:rsidR="00465704" w:rsidRPr="006404A8" w:rsidDel="0041500E" w:rsidRDefault="00465704" w:rsidP="00184565">
            <w:pPr>
              <w:spacing w:before="60" w:after="60"/>
            </w:pPr>
            <w:proofErr w:type="spellStart"/>
            <w:r w:rsidRPr="00834CBD">
              <w:t>Zoetis</w:t>
            </w:r>
            <w:proofErr w:type="spellEnd"/>
            <w:r w:rsidRPr="00834CBD">
              <w:t xml:space="preserve"> Australia Research &amp; Manufacturing Pty Ltd </w:t>
            </w:r>
            <w:r w:rsidRPr="006404A8">
              <w:t>(</w:t>
            </w:r>
            <w:proofErr w:type="spellStart"/>
            <w:r>
              <w:t>Zoetis</w:t>
            </w:r>
            <w:proofErr w:type="spellEnd"/>
            <w:r w:rsidRPr="006404A8">
              <w:t>)</w:t>
            </w:r>
          </w:p>
        </w:tc>
      </w:tr>
      <w:tr w:rsidR="00465704" w:rsidRPr="006404A8" w:rsidTr="00184565">
        <w:trPr>
          <w:cantSplit/>
        </w:trPr>
        <w:tc>
          <w:tcPr>
            <w:tcW w:w="2802" w:type="dxa"/>
            <w:shd w:val="clear" w:color="auto" w:fill="auto"/>
          </w:tcPr>
          <w:p w:rsidR="00465704" w:rsidRPr="006404A8" w:rsidRDefault="00465704" w:rsidP="00184565">
            <w:pPr>
              <w:spacing w:before="60" w:after="60"/>
            </w:pPr>
            <w:r w:rsidRPr="006404A8">
              <w:t>Project title</w:t>
            </w:r>
          </w:p>
        </w:tc>
        <w:tc>
          <w:tcPr>
            <w:tcW w:w="6598" w:type="dxa"/>
            <w:shd w:val="clear" w:color="auto" w:fill="auto"/>
          </w:tcPr>
          <w:p w:rsidR="00465704" w:rsidRPr="006404A8" w:rsidRDefault="00465704" w:rsidP="00184565">
            <w:pPr>
              <w:spacing w:before="60" w:after="60"/>
            </w:pPr>
            <w:r w:rsidRPr="00834CBD">
              <w:t xml:space="preserve">Commercial release of genetically modified vaccine to protect chickens against pathogenic </w:t>
            </w:r>
            <w:r w:rsidRPr="00834CBD">
              <w:rPr>
                <w:i/>
              </w:rPr>
              <w:t>Escherichia coli</w:t>
            </w:r>
          </w:p>
        </w:tc>
      </w:tr>
      <w:tr w:rsidR="00465704" w:rsidRPr="006404A8" w:rsidTr="00184565">
        <w:trPr>
          <w:cantSplit/>
        </w:trPr>
        <w:tc>
          <w:tcPr>
            <w:tcW w:w="2802" w:type="dxa"/>
            <w:shd w:val="clear" w:color="auto" w:fill="auto"/>
          </w:tcPr>
          <w:p w:rsidR="00465704" w:rsidRPr="006404A8" w:rsidRDefault="00465704" w:rsidP="00184565">
            <w:pPr>
              <w:spacing w:before="60" w:after="60"/>
            </w:pPr>
            <w:r w:rsidRPr="006404A8">
              <w:t>Parent organism</w:t>
            </w:r>
          </w:p>
        </w:tc>
        <w:tc>
          <w:tcPr>
            <w:tcW w:w="6598" w:type="dxa"/>
            <w:shd w:val="clear" w:color="auto" w:fill="auto"/>
          </w:tcPr>
          <w:p w:rsidR="00465704" w:rsidRPr="006404A8" w:rsidRDefault="00465704" w:rsidP="00184565">
            <w:pPr>
              <w:spacing w:before="60" w:after="60"/>
            </w:pPr>
            <w:r w:rsidRPr="00834CBD">
              <w:rPr>
                <w:i/>
              </w:rPr>
              <w:t>Escherichia coli</w:t>
            </w:r>
            <w:r w:rsidRPr="00834CBD">
              <w:t xml:space="preserve"> </w:t>
            </w:r>
            <w:r>
              <w:t>sero</w:t>
            </w:r>
            <w:r w:rsidRPr="00834CBD">
              <w:t>type O78</w:t>
            </w:r>
            <w:r>
              <w:t>, strain EC34195</w:t>
            </w:r>
          </w:p>
        </w:tc>
      </w:tr>
      <w:tr w:rsidR="00465704" w:rsidRPr="006404A8" w:rsidTr="00184565">
        <w:trPr>
          <w:cantSplit/>
        </w:trPr>
        <w:tc>
          <w:tcPr>
            <w:tcW w:w="2802" w:type="dxa"/>
            <w:shd w:val="clear" w:color="auto" w:fill="auto"/>
          </w:tcPr>
          <w:p w:rsidR="00465704" w:rsidRPr="006404A8" w:rsidRDefault="00465704" w:rsidP="00184565">
            <w:pPr>
              <w:spacing w:before="60" w:after="60"/>
            </w:pPr>
            <w:r w:rsidRPr="006404A8">
              <w:t>Introduced or modified genes and resulting modified traits</w:t>
            </w:r>
          </w:p>
        </w:tc>
        <w:tc>
          <w:tcPr>
            <w:tcW w:w="6598" w:type="dxa"/>
            <w:shd w:val="clear" w:color="auto" w:fill="auto"/>
          </w:tcPr>
          <w:p w:rsidR="00465704" w:rsidRPr="006404A8" w:rsidRDefault="00465704" w:rsidP="00184565">
            <w:pPr>
              <w:keepNext/>
              <w:tabs>
                <w:tab w:val="right" w:leader="dot" w:pos="9356"/>
              </w:tabs>
              <w:autoSpaceDE w:val="0"/>
              <w:autoSpaceDN w:val="0"/>
              <w:spacing w:before="60" w:after="60"/>
              <w:rPr>
                <w:iCs/>
              </w:rPr>
            </w:pPr>
            <w:r>
              <w:rPr>
                <w:iCs/>
              </w:rPr>
              <w:t>Partial d</w:t>
            </w:r>
            <w:r w:rsidRPr="00834CBD">
              <w:rPr>
                <w:iCs/>
              </w:rPr>
              <w:t xml:space="preserve">eletion of </w:t>
            </w:r>
            <w:proofErr w:type="spellStart"/>
            <w:r w:rsidRPr="00A3336A">
              <w:rPr>
                <w:i/>
                <w:iCs/>
              </w:rPr>
              <w:t>aroA</w:t>
            </w:r>
            <w:proofErr w:type="spellEnd"/>
            <w:r w:rsidRPr="00834CBD">
              <w:rPr>
                <w:iCs/>
              </w:rPr>
              <w:t xml:space="preserve"> gene (</w:t>
            </w:r>
            <w:r>
              <w:rPr>
                <w:iCs/>
              </w:rPr>
              <w:t xml:space="preserve">impaired biosynthesis of essential aromatic amino acids resulting in reduced spread and persistence of the GMO </w:t>
            </w:r>
            <w:r w:rsidRPr="00834CBD">
              <w:rPr>
                <w:iCs/>
              </w:rPr>
              <w:t>- attenuation)</w:t>
            </w:r>
          </w:p>
        </w:tc>
      </w:tr>
      <w:tr w:rsidR="00465704" w:rsidRPr="006404A8" w:rsidTr="00184565">
        <w:trPr>
          <w:cantSplit/>
        </w:trPr>
        <w:tc>
          <w:tcPr>
            <w:tcW w:w="2802" w:type="dxa"/>
            <w:shd w:val="clear" w:color="auto" w:fill="auto"/>
          </w:tcPr>
          <w:p w:rsidR="00465704" w:rsidRPr="006404A8" w:rsidRDefault="00465704" w:rsidP="00184565">
            <w:pPr>
              <w:spacing w:before="60" w:after="60"/>
            </w:pPr>
            <w:r w:rsidRPr="006404A8">
              <w:t>Proposed locations</w:t>
            </w:r>
          </w:p>
        </w:tc>
        <w:tc>
          <w:tcPr>
            <w:tcW w:w="6598" w:type="dxa"/>
            <w:shd w:val="clear" w:color="auto" w:fill="auto"/>
          </w:tcPr>
          <w:p w:rsidR="00465704" w:rsidRPr="006404A8" w:rsidRDefault="00465704" w:rsidP="00184565">
            <w:r w:rsidRPr="00834CBD">
              <w:t>Commercial poultry farms in Australia</w:t>
            </w:r>
          </w:p>
        </w:tc>
      </w:tr>
      <w:tr w:rsidR="00465704" w:rsidRPr="006404A8" w:rsidTr="00184565">
        <w:trPr>
          <w:cantSplit/>
        </w:trPr>
        <w:tc>
          <w:tcPr>
            <w:tcW w:w="2802" w:type="dxa"/>
            <w:shd w:val="clear" w:color="auto" w:fill="auto"/>
          </w:tcPr>
          <w:p w:rsidR="00465704" w:rsidRPr="006404A8" w:rsidRDefault="00465704" w:rsidP="00184565">
            <w:pPr>
              <w:spacing w:before="60" w:after="60"/>
            </w:pPr>
            <w:r w:rsidRPr="006404A8">
              <w:t xml:space="preserve">Proposed </w:t>
            </w:r>
            <w:r>
              <w:t>release</w:t>
            </w:r>
            <w:r w:rsidRPr="006404A8">
              <w:t xml:space="preserve"> </w:t>
            </w:r>
            <w:r>
              <w:t>date</w:t>
            </w:r>
          </w:p>
        </w:tc>
        <w:tc>
          <w:tcPr>
            <w:tcW w:w="6598" w:type="dxa"/>
            <w:shd w:val="clear" w:color="auto" w:fill="auto"/>
          </w:tcPr>
          <w:p w:rsidR="00465704" w:rsidRPr="006404A8" w:rsidRDefault="00465704" w:rsidP="00184565">
            <w:pPr>
              <w:spacing w:before="60" w:after="60"/>
            </w:pPr>
            <w:r w:rsidRPr="00834CBD">
              <w:t>Ongoing from date of approval</w:t>
            </w:r>
          </w:p>
        </w:tc>
      </w:tr>
      <w:tr w:rsidR="00465704" w:rsidRPr="006404A8" w:rsidTr="00184565">
        <w:trPr>
          <w:cantSplit/>
        </w:trPr>
        <w:tc>
          <w:tcPr>
            <w:tcW w:w="2802" w:type="dxa"/>
            <w:shd w:val="clear" w:color="auto" w:fill="auto"/>
          </w:tcPr>
          <w:p w:rsidR="00465704" w:rsidRPr="00735AC9" w:rsidRDefault="00465704" w:rsidP="00184565">
            <w:pPr>
              <w:spacing w:before="60" w:after="60"/>
            </w:pPr>
            <w:r w:rsidRPr="00735AC9">
              <w:t>Pr</w:t>
            </w:r>
            <w:r>
              <w:t>oposed activities</w:t>
            </w:r>
          </w:p>
        </w:tc>
        <w:tc>
          <w:tcPr>
            <w:tcW w:w="6598" w:type="dxa"/>
            <w:shd w:val="clear" w:color="auto" w:fill="auto"/>
          </w:tcPr>
          <w:p w:rsidR="00465704" w:rsidRPr="006404A8" w:rsidRDefault="00465704" w:rsidP="00184565">
            <w:pPr>
              <w:spacing w:before="60" w:after="60"/>
            </w:pPr>
            <w:r>
              <w:t>Import, storage, transport and disposal of the GM chicken vaccine.</w:t>
            </w:r>
          </w:p>
        </w:tc>
      </w:tr>
    </w:tbl>
    <w:p w:rsidR="00465704" w:rsidRPr="006404A8" w:rsidRDefault="00465704" w:rsidP="00465704">
      <w:pPr>
        <w:pStyle w:val="2RARMP"/>
        <w:numPr>
          <w:ilvl w:val="0"/>
          <w:numId w:val="0"/>
        </w:numPr>
      </w:pPr>
      <w:bookmarkStart w:id="13" w:name="_Toc404868318"/>
      <w:r w:rsidRPr="006404A8">
        <w:t>Risk assessment</w:t>
      </w:r>
      <w:bookmarkEnd w:id="13"/>
    </w:p>
    <w:p w:rsidR="00465704" w:rsidRPr="006404A8" w:rsidRDefault="00465704" w:rsidP="00465704">
      <w:pPr>
        <w:spacing w:before="120" w:after="120"/>
        <w:rPr>
          <w:bCs/>
        </w:rPr>
      </w:pPr>
      <w:r w:rsidRPr="006404A8">
        <w:t xml:space="preserve">The risk assessment concludes that </w:t>
      </w:r>
      <w:r>
        <w:t xml:space="preserve">there </w:t>
      </w:r>
      <w:r w:rsidRPr="006404A8">
        <w:t xml:space="preserve">are </w:t>
      </w:r>
      <w:r w:rsidRPr="006404A8">
        <w:rPr>
          <w:bCs/>
        </w:rPr>
        <w:t>negligible</w:t>
      </w:r>
      <w:r w:rsidRPr="006404A8">
        <w:t xml:space="preserve"> risks to the health and safety of people, or the environment, from the proposed </w:t>
      </w:r>
      <w:r>
        <w:t xml:space="preserve">commercial </w:t>
      </w:r>
      <w:r w:rsidRPr="006404A8">
        <w:t>release</w:t>
      </w:r>
      <w:r>
        <w:t>, either in the short or long term</w:t>
      </w:r>
      <w:r w:rsidRPr="006404A8">
        <w:t>.</w:t>
      </w:r>
      <w:r>
        <w:t xml:space="preserve"> No controls are required to manage these negligible risks.</w:t>
      </w:r>
    </w:p>
    <w:p w:rsidR="00465704" w:rsidRPr="006404A8" w:rsidRDefault="00465704" w:rsidP="00465704">
      <w:pPr>
        <w:spacing w:before="120" w:after="120"/>
      </w:pPr>
      <w:r w:rsidRPr="006404A8">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w:t>
      </w:r>
      <w:r>
        <w:t>,</w:t>
      </w:r>
      <w:r w:rsidRPr="006404A8">
        <w:t xml:space="preserve"> information in the application</w:t>
      </w:r>
      <w:r>
        <w:t xml:space="preserve"> and relevant previous approvals</w:t>
      </w:r>
      <w:r w:rsidRPr="006404A8">
        <w:t>. Both the short and long term</w:t>
      </w:r>
      <w:r>
        <w:t xml:space="preserve"> impact</w:t>
      </w:r>
      <w:r w:rsidRPr="006404A8">
        <w:t xml:space="preserve"> </w:t>
      </w:r>
      <w:r>
        <w:t>are</w:t>
      </w:r>
      <w:r w:rsidRPr="006404A8">
        <w:t xml:space="preserve"> considered.</w:t>
      </w:r>
    </w:p>
    <w:p w:rsidR="00465704" w:rsidRPr="00D43B42" w:rsidRDefault="00465704" w:rsidP="00465704">
      <w:pPr>
        <w:pStyle w:val="Paranonumbers"/>
      </w:pPr>
      <w:r w:rsidRPr="006404A8">
        <w:t xml:space="preserve">Credible pathways to potential harm that were considered included whether changes in gene expression due to gene deletions could: </w:t>
      </w:r>
      <w:r w:rsidRPr="00D43B42">
        <w:t xml:space="preserve">result in products that are toxic or allergenic to people or other organisms; alter characteristics that may impact on the disease burden due to the GM </w:t>
      </w:r>
      <w:r w:rsidRPr="00A3336A">
        <w:rPr>
          <w:i/>
        </w:rPr>
        <w:t>E. coli</w:t>
      </w:r>
      <w:r w:rsidRPr="00D43B42">
        <w:t xml:space="preserve">; or produce unintended changes in bacterial characteristics. The </w:t>
      </w:r>
      <w:r>
        <w:t>chance</w:t>
      </w:r>
      <w:r w:rsidRPr="00D43B42">
        <w:t xml:space="preserve"> for unintended exposure to the vaccine and the GM bacteria it contains, and for gene flow was also considered.</w:t>
      </w:r>
    </w:p>
    <w:p w:rsidR="00465704" w:rsidRPr="00C500EB" w:rsidRDefault="00465704" w:rsidP="00465704">
      <w:pPr>
        <w:spacing w:before="120" w:after="120"/>
      </w:pPr>
      <w:r w:rsidRPr="00D43B42">
        <w:t xml:space="preserve">The principal reasons for the conclusion of negligible risks are that the genetic modification </w:t>
      </w:r>
      <w:r>
        <w:t>is</w:t>
      </w:r>
      <w:r w:rsidRPr="00D43B42">
        <w:t xml:space="preserve"> unl</w:t>
      </w:r>
      <w:r>
        <w:t>ikely to cause harm to people and</w:t>
      </w:r>
      <w:r w:rsidRPr="00D43B42">
        <w:t xml:space="preserve"> the environment; </w:t>
      </w:r>
      <w:r>
        <w:t xml:space="preserve">the extensive previous experience with the GM chicken vaccine overseas, </w:t>
      </w:r>
      <w:r w:rsidRPr="00D43B42">
        <w:t xml:space="preserve">and bacteria similar to the GMO are common in the </w:t>
      </w:r>
      <w:r w:rsidRPr="00C500EB">
        <w:t>environment.</w:t>
      </w:r>
    </w:p>
    <w:p w:rsidR="00465704" w:rsidRPr="006404A8" w:rsidRDefault="00465704" w:rsidP="00465704">
      <w:pPr>
        <w:pStyle w:val="2RARMP"/>
        <w:numPr>
          <w:ilvl w:val="0"/>
          <w:numId w:val="0"/>
        </w:numPr>
      </w:pPr>
      <w:bookmarkStart w:id="14" w:name="_Toc209859549"/>
      <w:bookmarkStart w:id="15" w:name="_Toc274904728"/>
      <w:bookmarkStart w:id="16" w:name="_Toc291151778"/>
      <w:bookmarkStart w:id="17" w:name="_Toc404868319"/>
      <w:r w:rsidRPr="006404A8">
        <w:t>Risk management</w:t>
      </w:r>
      <w:bookmarkEnd w:id="14"/>
      <w:r w:rsidRPr="006404A8">
        <w:t xml:space="preserve"> plan</w:t>
      </w:r>
      <w:bookmarkEnd w:id="15"/>
      <w:bookmarkEnd w:id="16"/>
      <w:bookmarkEnd w:id="17"/>
    </w:p>
    <w:p w:rsidR="00465704" w:rsidRPr="00D608A6" w:rsidRDefault="00465704" w:rsidP="00465704">
      <w:pPr>
        <w:spacing w:before="120" w:after="120"/>
      </w:pPr>
      <w:r>
        <w:t>The r</w:t>
      </w:r>
      <w:r w:rsidRPr="00D608A6">
        <w:t>isk management</w:t>
      </w:r>
      <w:r>
        <w:t xml:space="preserve"> plan describes measures to</w:t>
      </w:r>
      <w:r w:rsidRPr="00D608A6">
        <w:t xml:space="preserve"> protect the health and safety of people and to protect the environment by controlling or mitigating risk. The risk management plan is given effect through licence conditions.</w:t>
      </w:r>
    </w:p>
    <w:p w:rsidR="00465704" w:rsidRDefault="00465704" w:rsidP="00465704">
      <w:pPr>
        <w:spacing w:before="120" w:after="120"/>
      </w:pPr>
      <w:r>
        <w:t xml:space="preserve">As the level of risk is assessed as negligible, specific risk treatment is not required. However, the Regulator has imposed licence conditions under post-release review (PRR) to ensure that there is ongoing oversight of the release and to allow the </w:t>
      </w:r>
      <w:r>
        <w:lastRenderedPageBreak/>
        <w:t xml:space="preserve">collection of information to verify the findings of the RARMP. The licence also contains a number of general conditions relating to </w:t>
      </w:r>
      <w:r w:rsidRPr="00D608A6">
        <w:t xml:space="preserve">ongoing licence holder suitability, auditing and monitoring, and reporting requirements which include an obligation to report any new information about risks or unintended effects associated with the authorised dealings. </w:t>
      </w:r>
    </w:p>
    <w:p w:rsidR="00F845BB" w:rsidRPr="00F845BB" w:rsidRDefault="00F845BB" w:rsidP="004A4A4E">
      <w:pPr>
        <w:keepNext/>
        <w:spacing w:before="240" w:after="120"/>
        <w:ind w:left="284"/>
        <w:jc w:val="center"/>
        <w:outlineLvl w:val="0"/>
        <w:rPr>
          <w:rFonts w:eastAsia="MS Mincho"/>
          <w:lang w:eastAsia="en-AU"/>
        </w:rPr>
      </w:pPr>
    </w:p>
    <w:sectPr w:rsidR="00F845BB" w:rsidRPr="00F845BB" w:rsidSect="00827157">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63" w:rsidRDefault="00457563" w:rsidP="00F845BB">
      <w:r>
        <w:separator/>
      </w:r>
    </w:p>
  </w:endnote>
  <w:endnote w:type="continuationSeparator" w:id="0">
    <w:p w:rsidR="00457563" w:rsidRDefault="00457563" w:rsidP="00F8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57" w:rsidRDefault="00827157">
    <w:pPr>
      <w:pStyle w:val="Footer"/>
      <w:jc w:val="right"/>
    </w:pPr>
    <w:r>
      <w:rPr>
        <w:noProof/>
        <w:lang w:eastAsia="en-AU"/>
      </w:rPr>
      <mc:AlternateContent>
        <mc:Choice Requires="wps">
          <w:drawing>
            <wp:anchor distT="0" distB="0" distL="114300" distR="114300" simplePos="0" relativeHeight="251661312" behindDoc="0" locked="0" layoutInCell="1" allowOverlap="1" wp14:anchorId="25574EA2" wp14:editId="21706F33">
              <wp:simplePos x="0" y="0"/>
              <wp:positionH relativeFrom="column">
                <wp:posOffset>-158262</wp:posOffset>
              </wp:positionH>
              <wp:positionV relativeFrom="paragraph">
                <wp:posOffset>120566</wp:posOffset>
              </wp:positionV>
              <wp:extent cx="5406014" cy="0"/>
              <wp:effectExtent l="0" t="0" r="23495" b="19050"/>
              <wp:wrapNone/>
              <wp:docPr id="3" name="Straight Connector 3" descr="This is a straight connector" title="Footer"/>
              <wp:cNvGraphicFramePr/>
              <a:graphic xmlns:a="http://schemas.openxmlformats.org/drawingml/2006/main">
                <a:graphicData uri="http://schemas.microsoft.com/office/word/2010/wordprocessingShape">
                  <wps:wsp>
                    <wps:cNvCnPr/>
                    <wps:spPr>
                      <a:xfrm flipH="1">
                        <a:off x="0" y="0"/>
                        <a:ext cx="540601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alt="Title: Footer - Description: This is a straight connector"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9.5pt" to="41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" strokecolor="black [3040]" strokeweight="1pt"/>
          </w:pict>
        </mc:Fallback>
      </mc:AlternateContent>
    </w:r>
  </w:p>
  <w:p w:rsidR="00827157" w:rsidRPr="000D16B5" w:rsidRDefault="002B49A9" w:rsidP="000D16B5">
    <w:pPr>
      <w:pStyle w:val="Footer"/>
      <w:tabs>
        <w:tab w:val="clear" w:pos="9026"/>
        <w:tab w:val="right" w:pos="8222"/>
      </w:tabs>
      <w:ind w:right="84" w:firstLine="720"/>
      <w:jc w:val="right"/>
      <w:rPr>
        <w:sz w:val="18"/>
      </w:rPr>
    </w:pPr>
    <w:sdt>
      <w:sdtPr>
        <w:id w:val="-1814161963"/>
        <w:docPartObj>
          <w:docPartGallery w:val="Page Numbers (Bottom of Page)"/>
          <w:docPartUnique/>
        </w:docPartObj>
      </w:sdtPr>
      <w:sdtEndPr>
        <w:rPr>
          <w:noProof/>
          <w:sz w:val="18"/>
        </w:rPr>
      </w:sdtEndPr>
      <w:sdtContent>
        <w:r w:rsidR="00827157" w:rsidRPr="000D16B5">
          <w:rPr>
            <w:sz w:val="18"/>
          </w:rPr>
          <w:fldChar w:fldCharType="begin"/>
        </w:r>
        <w:r w:rsidR="00827157" w:rsidRPr="000D16B5">
          <w:rPr>
            <w:sz w:val="18"/>
          </w:rPr>
          <w:instrText xml:space="preserve"> PAGE   \* MERGEFORMAT </w:instrText>
        </w:r>
        <w:r w:rsidR="00827157" w:rsidRPr="000D16B5">
          <w:rPr>
            <w:sz w:val="18"/>
          </w:rPr>
          <w:fldChar w:fldCharType="separate"/>
        </w:r>
        <w:r>
          <w:rPr>
            <w:noProof/>
            <w:sz w:val="18"/>
          </w:rPr>
          <w:t>2</w:t>
        </w:r>
        <w:r w:rsidR="00827157" w:rsidRPr="000D16B5">
          <w:rPr>
            <w:noProof/>
            <w:sz w:val="18"/>
          </w:rPr>
          <w:fldChar w:fldCharType="end"/>
        </w:r>
      </w:sdtContent>
    </w:sdt>
  </w:p>
  <w:p w:rsidR="00827157" w:rsidRDefault="00827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57" w:rsidRDefault="00827157" w:rsidP="00827157">
    <w:pPr>
      <w:pStyle w:val="Footer"/>
    </w:pPr>
    <w:r>
      <w:rPr>
        <w:noProof/>
        <w:lang w:eastAsia="en-AU"/>
      </w:rPr>
      <mc:AlternateContent>
        <mc:Choice Requires="wps">
          <w:drawing>
            <wp:anchor distT="0" distB="0" distL="114300" distR="114300" simplePos="0" relativeHeight="251659264" behindDoc="0" locked="0" layoutInCell="1" allowOverlap="1" wp14:anchorId="302D80DB" wp14:editId="5CB52B2C">
              <wp:simplePos x="0" y="0"/>
              <wp:positionH relativeFrom="column">
                <wp:posOffset>-306659</wp:posOffset>
              </wp:positionH>
              <wp:positionV relativeFrom="paragraph">
                <wp:posOffset>118606</wp:posOffset>
              </wp:positionV>
              <wp:extent cx="5943012" cy="0"/>
              <wp:effectExtent l="0" t="0" r="19685" b="19050"/>
              <wp:wrapNone/>
              <wp:docPr id="1" name="Straight Connector 1" descr="This is a straight connector" title="Footer"/>
              <wp:cNvGraphicFramePr/>
              <a:graphic xmlns:a="http://schemas.openxmlformats.org/drawingml/2006/main">
                <a:graphicData uri="http://schemas.microsoft.com/office/word/2010/wordprocessingShape">
                  <wps:wsp>
                    <wps:cNvCnPr/>
                    <wps:spPr>
                      <a:xfrm flipH="1">
                        <a:off x="0" y="0"/>
                        <a:ext cx="594301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Footer - Description: This is a straight connector"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9.35pt" to="443.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" strokecolor="black [3040]" strokeweight="1pt"/>
          </w:pict>
        </mc:Fallback>
      </mc:AlternateContent>
    </w:r>
  </w:p>
  <w:p w:rsidR="00827157" w:rsidRPr="000101BE" w:rsidRDefault="00827157" w:rsidP="00827157">
    <w:pPr>
      <w:pStyle w:val="Footer"/>
      <w:jc w:val="center"/>
      <w:rPr>
        <w:sz w:val="18"/>
        <w:szCs w:val="18"/>
      </w:rPr>
    </w:pPr>
    <w:r w:rsidRPr="000101BE">
      <w:rPr>
        <w:sz w:val="18"/>
        <w:szCs w:val="18"/>
      </w:rPr>
      <w:t xml:space="preserve">Address: MDP 54 GPO Box 9848 Canberra ACT </w:t>
    </w:r>
    <w:proofErr w:type="gramStart"/>
    <w:r w:rsidRPr="000101BE">
      <w:rPr>
        <w:sz w:val="18"/>
        <w:szCs w:val="18"/>
      </w:rPr>
      <w:t>2601  Website</w:t>
    </w:r>
    <w:proofErr w:type="gramEnd"/>
    <w:r w:rsidRPr="000101BE">
      <w:rPr>
        <w:sz w:val="18"/>
        <w:szCs w:val="18"/>
      </w:rPr>
      <w:t xml:space="preserve">: </w:t>
    </w:r>
    <w:hyperlink r:id="rId1" w:history="1">
      <w:r w:rsidRPr="000101BE">
        <w:rPr>
          <w:rStyle w:val="Hyperlink"/>
          <w:sz w:val="18"/>
          <w:szCs w:val="18"/>
        </w:rPr>
        <w:t>www.ogtr.gov.au</w:t>
      </w:r>
    </w:hyperlink>
  </w:p>
  <w:p w:rsidR="00827157" w:rsidRPr="00827157" w:rsidRDefault="00827157" w:rsidP="00827157">
    <w:pPr>
      <w:pStyle w:val="Footer"/>
      <w:jc w:val="center"/>
      <w:rPr>
        <w:sz w:val="22"/>
      </w:rPr>
    </w:pPr>
    <w:r w:rsidRPr="000101BE">
      <w:rPr>
        <w:sz w:val="18"/>
        <w:szCs w:val="18"/>
      </w:rPr>
      <w:t xml:space="preserve">Telephone: 1800 181 </w:t>
    </w:r>
    <w:proofErr w:type="gramStart"/>
    <w:r w:rsidRPr="000101BE">
      <w:rPr>
        <w:sz w:val="18"/>
        <w:szCs w:val="18"/>
      </w:rPr>
      <w:t>030  Facsimile</w:t>
    </w:r>
    <w:proofErr w:type="gramEnd"/>
    <w:r w:rsidRPr="000101BE">
      <w:rPr>
        <w:sz w:val="18"/>
        <w:szCs w:val="18"/>
      </w:rPr>
      <w:t xml:space="preserve">: 02 6271 4202  Email: </w:t>
    </w:r>
    <w:hyperlink r:id="rId2" w:history="1">
      <w:r w:rsidRPr="000101BE">
        <w:rPr>
          <w:rStyle w:val="Hyperlink"/>
          <w:sz w:val="18"/>
          <w:szCs w:val="18"/>
        </w:rPr>
        <w:t>ogtr@health.gov.au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63" w:rsidRDefault="00457563" w:rsidP="00F845BB">
      <w:r>
        <w:separator/>
      </w:r>
    </w:p>
  </w:footnote>
  <w:footnote w:type="continuationSeparator" w:id="0">
    <w:p w:rsidR="00457563" w:rsidRDefault="00457563" w:rsidP="00F84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5" w:rsidRPr="000D16B5" w:rsidRDefault="000D16B5" w:rsidP="000D16B5">
    <w:pPr>
      <w:pStyle w:val="Header"/>
      <w:pBdr>
        <w:bottom w:val="single" w:sz="6" w:space="1" w:color="auto"/>
      </w:pBdr>
      <w:jc w:val="center"/>
      <w:rPr>
        <w:rFonts w:ascii="Calibri" w:hAnsi="Calibri"/>
        <w:sz w:val="18"/>
      </w:rPr>
    </w:pPr>
    <w:r w:rsidRPr="000D16B5">
      <w:rPr>
        <w:rFonts w:ascii="Calibri" w:hAnsi="Calibri"/>
        <w:sz w:val="18"/>
      </w:rPr>
      <w:t>Office of the Gene Technology Regulator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B5" w:rsidRDefault="000D16B5">
    <w:pPr>
      <w:pStyle w:val="Header"/>
    </w:pPr>
    <w:r>
      <w:rPr>
        <w:noProof/>
        <w:lang w:eastAsia="en-AU"/>
      </w:rPr>
      <w:drawing>
        <wp:inline distT="0" distB="0" distL="0" distR="0" wp14:anchorId="7166C2E7" wp14:editId="0E500DC9">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E6ABF"/>
    <w:multiLevelType w:val="multilevel"/>
    <w:tmpl w:val="D3BA3F96"/>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957"/>
        </w:tabs>
        <w:ind w:left="1957"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BB"/>
    <w:rsid w:val="000101BE"/>
    <w:rsid w:val="000D16B5"/>
    <w:rsid w:val="0015410E"/>
    <w:rsid w:val="001B3443"/>
    <w:rsid w:val="001F0322"/>
    <w:rsid w:val="002B49A9"/>
    <w:rsid w:val="0030786C"/>
    <w:rsid w:val="00394729"/>
    <w:rsid w:val="00457563"/>
    <w:rsid w:val="00465704"/>
    <w:rsid w:val="004867E2"/>
    <w:rsid w:val="004A4A4E"/>
    <w:rsid w:val="004C3985"/>
    <w:rsid w:val="004D392E"/>
    <w:rsid w:val="00513518"/>
    <w:rsid w:val="00631390"/>
    <w:rsid w:val="007D563F"/>
    <w:rsid w:val="008264EB"/>
    <w:rsid w:val="00827157"/>
    <w:rsid w:val="00877ABE"/>
    <w:rsid w:val="009546D9"/>
    <w:rsid w:val="00B42851"/>
    <w:rsid w:val="00BA2F0B"/>
    <w:rsid w:val="00C215EA"/>
    <w:rsid w:val="00C66BF2"/>
    <w:rsid w:val="00CB5B1A"/>
    <w:rsid w:val="00E170A4"/>
    <w:rsid w:val="00E544A2"/>
    <w:rsid w:val="00EB0BE5"/>
    <w:rsid w:val="00EC18A2"/>
    <w:rsid w:val="00F71F79"/>
    <w:rsid w:val="00F84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paragraph" w:styleId="Heading7">
    <w:name w:val="heading 7"/>
    <w:basedOn w:val="Normal"/>
    <w:next w:val="Normal"/>
    <w:link w:val="Heading7Char"/>
    <w:qFormat/>
    <w:rsid w:val="004A4A4E"/>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4A4A4E"/>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4A4A4E"/>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45BB"/>
    <w:rPr>
      <w:vertAlign w:val="superscript"/>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F845BB"/>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F845BB"/>
    <w:rPr>
      <w:sz w:val="24"/>
      <w:szCs w:val="24"/>
      <w:lang w:eastAsia="en-US"/>
    </w:rPr>
  </w:style>
  <w:style w:type="paragraph" w:styleId="Footer">
    <w:name w:val="footer"/>
    <w:basedOn w:val="Normal"/>
    <w:link w:val="FooterChar"/>
    <w:uiPriority w:val="99"/>
    <w:rsid w:val="00F845BB"/>
    <w:pPr>
      <w:tabs>
        <w:tab w:val="center" w:pos="4513"/>
        <w:tab w:val="right" w:pos="9026"/>
      </w:tabs>
    </w:pPr>
  </w:style>
  <w:style w:type="character" w:customStyle="1" w:styleId="FooterChar">
    <w:name w:val="Footer Char"/>
    <w:basedOn w:val="DefaultParagraphFont"/>
    <w:link w:val="Footer"/>
    <w:uiPriority w:val="99"/>
    <w:rsid w:val="00F845BB"/>
    <w:rPr>
      <w:sz w:val="24"/>
      <w:szCs w:val="24"/>
      <w:lang w:eastAsia="en-US"/>
    </w:rPr>
  </w:style>
  <w:style w:type="paragraph" w:styleId="BalloonText">
    <w:name w:val="Balloon Text"/>
    <w:basedOn w:val="Normal"/>
    <w:link w:val="BalloonTextChar"/>
    <w:rsid w:val="00F845BB"/>
    <w:rPr>
      <w:rFonts w:ascii="Tahoma" w:hAnsi="Tahoma" w:cs="Tahoma"/>
      <w:sz w:val="16"/>
      <w:szCs w:val="16"/>
    </w:rPr>
  </w:style>
  <w:style w:type="character" w:customStyle="1" w:styleId="BalloonTextChar">
    <w:name w:val="Balloon Text Char"/>
    <w:basedOn w:val="DefaultParagraphFont"/>
    <w:link w:val="BalloonText"/>
    <w:rsid w:val="00F845BB"/>
    <w:rPr>
      <w:rFonts w:ascii="Tahoma" w:hAnsi="Tahoma" w:cs="Tahoma"/>
      <w:sz w:val="16"/>
      <w:szCs w:val="16"/>
      <w:lang w:eastAsia="en-US"/>
    </w:rPr>
  </w:style>
  <w:style w:type="character" w:styleId="Hyperlink">
    <w:name w:val="Hyperlink"/>
    <w:basedOn w:val="DefaultParagraphFont"/>
    <w:rsid w:val="00F845BB"/>
    <w:rPr>
      <w:color w:val="0000FF" w:themeColor="hyperlink"/>
      <w:u w:val="single"/>
    </w:rPr>
  </w:style>
  <w:style w:type="character" w:styleId="CommentReference">
    <w:name w:val="annotation reference"/>
    <w:basedOn w:val="DefaultParagraphFont"/>
    <w:rsid w:val="00F71F79"/>
    <w:rPr>
      <w:sz w:val="16"/>
      <w:szCs w:val="16"/>
    </w:rPr>
  </w:style>
  <w:style w:type="paragraph" w:styleId="CommentText">
    <w:name w:val="annotation text"/>
    <w:basedOn w:val="Normal"/>
    <w:link w:val="CommentTextChar"/>
    <w:rsid w:val="00F71F79"/>
    <w:rPr>
      <w:sz w:val="20"/>
      <w:szCs w:val="20"/>
    </w:rPr>
  </w:style>
  <w:style w:type="character" w:customStyle="1" w:styleId="CommentTextChar">
    <w:name w:val="Comment Text Char"/>
    <w:basedOn w:val="DefaultParagraphFont"/>
    <w:link w:val="CommentText"/>
    <w:rsid w:val="00F71F79"/>
    <w:rPr>
      <w:lang w:eastAsia="en-US"/>
    </w:rPr>
  </w:style>
  <w:style w:type="paragraph" w:styleId="CommentSubject">
    <w:name w:val="annotation subject"/>
    <w:basedOn w:val="CommentText"/>
    <w:next w:val="CommentText"/>
    <w:link w:val="CommentSubjectChar"/>
    <w:rsid w:val="00F71F79"/>
    <w:rPr>
      <w:b/>
      <w:bCs/>
    </w:rPr>
  </w:style>
  <w:style w:type="character" w:customStyle="1" w:styleId="CommentSubjectChar">
    <w:name w:val="Comment Subject Char"/>
    <w:basedOn w:val="CommentTextChar"/>
    <w:link w:val="CommentSubject"/>
    <w:rsid w:val="00F71F79"/>
    <w:rPr>
      <w:b/>
      <w:bCs/>
      <w:lang w:eastAsia="en-US"/>
    </w:rPr>
  </w:style>
  <w:style w:type="character" w:customStyle="1" w:styleId="Heading7Char">
    <w:name w:val="Heading 7 Char"/>
    <w:basedOn w:val="DefaultParagraphFont"/>
    <w:link w:val="Heading7"/>
    <w:rsid w:val="004A4A4E"/>
    <w:rPr>
      <w:rFonts w:eastAsiaTheme="minorEastAsia"/>
      <w:sz w:val="24"/>
      <w:szCs w:val="24"/>
    </w:rPr>
  </w:style>
  <w:style w:type="character" w:customStyle="1" w:styleId="Heading8Char">
    <w:name w:val="Heading 8 Char"/>
    <w:basedOn w:val="DefaultParagraphFont"/>
    <w:link w:val="Heading8"/>
    <w:rsid w:val="004A4A4E"/>
    <w:rPr>
      <w:rFonts w:eastAsiaTheme="minorEastAsia"/>
      <w:i/>
      <w:iCs/>
      <w:sz w:val="24"/>
      <w:szCs w:val="24"/>
    </w:rPr>
  </w:style>
  <w:style w:type="character" w:customStyle="1" w:styleId="Heading9Char">
    <w:name w:val="Heading 9 Char"/>
    <w:basedOn w:val="DefaultParagraphFont"/>
    <w:link w:val="Heading9"/>
    <w:rsid w:val="004A4A4E"/>
    <w:rPr>
      <w:rFonts w:ascii="Arial" w:eastAsiaTheme="minorEastAsia" w:hAnsi="Arial" w:cs="Arial"/>
      <w:sz w:val="22"/>
      <w:szCs w:val="22"/>
    </w:rPr>
  </w:style>
  <w:style w:type="character" w:customStyle="1" w:styleId="Heading1Char">
    <w:name w:val="Heading 1 Char"/>
    <w:basedOn w:val="DefaultParagraphFont"/>
    <w:link w:val="Heading1"/>
    <w:rsid w:val="004A4A4E"/>
    <w:rPr>
      <w:rFonts w:cs="Arial"/>
      <w:b/>
      <w:bCs/>
      <w:kern w:val="32"/>
      <w:sz w:val="32"/>
      <w:szCs w:val="32"/>
      <w:lang w:eastAsia="en-US"/>
    </w:rPr>
  </w:style>
  <w:style w:type="paragraph" w:customStyle="1" w:styleId="1RARMP">
    <w:name w:val="1 RARMP"/>
    <w:basedOn w:val="Normal"/>
    <w:qFormat/>
    <w:rsid w:val="004A4A4E"/>
    <w:pPr>
      <w:numPr>
        <w:numId w:val="1"/>
      </w:numPr>
      <w:tabs>
        <w:tab w:val="clear" w:pos="3545"/>
        <w:tab w:val="num" w:pos="284"/>
      </w:tabs>
      <w:spacing w:before="120" w:after="120"/>
      <w:ind w:left="0"/>
      <w:outlineLvl w:val="0"/>
    </w:pPr>
    <w:rPr>
      <w:rFonts w:ascii="Arial" w:eastAsiaTheme="minorEastAsia" w:hAnsi="Arial" w:cs="Arial"/>
      <w:b/>
      <w:bCs/>
      <w:color w:val="000000"/>
      <w:sz w:val="36"/>
      <w:szCs w:val="36"/>
      <w:lang w:eastAsia="en-AU"/>
    </w:rPr>
  </w:style>
  <w:style w:type="paragraph" w:customStyle="1" w:styleId="2RARMP">
    <w:name w:val="2 RARMP"/>
    <w:basedOn w:val="Normal"/>
    <w:qFormat/>
    <w:rsid w:val="004A4A4E"/>
    <w:pPr>
      <w:keepNext/>
      <w:numPr>
        <w:ilvl w:val="1"/>
        <w:numId w:val="1"/>
      </w:numPr>
      <w:tabs>
        <w:tab w:val="clear" w:pos="1957"/>
        <w:tab w:val="left" w:pos="1440"/>
        <w:tab w:val="num" w:pos="1712"/>
      </w:tabs>
      <w:spacing w:before="240" w:after="120"/>
      <w:ind w:left="1712" w:hanging="1712"/>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4A4A4E"/>
    <w:pPr>
      <w:keepNext/>
      <w:numPr>
        <w:ilvl w:val="2"/>
        <w:numId w:val="1"/>
      </w:numPr>
      <w:spacing w:before="120" w:after="120"/>
      <w:outlineLvl w:val="2"/>
    </w:pPr>
    <w:rPr>
      <w:rFonts w:ascii="Arial" w:eastAsiaTheme="minorEastAsia" w:hAnsi="Arial" w:cs="Arial"/>
      <w:b/>
      <w:bCs/>
      <w:lang w:eastAsia="en-AU"/>
    </w:rPr>
  </w:style>
  <w:style w:type="paragraph" w:customStyle="1" w:styleId="4RARMP">
    <w:name w:val="4 RARMP"/>
    <w:basedOn w:val="Normal"/>
    <w:qFormat/>
    <w:rsid w:val="004A4A4E"/>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Paranonumbers">
    <w:name w:val="Para no numbers"/>
    <w:basedOn w:val="Normal"/>
    <w:link w:val="ParanonumbersChar"/>
    <w:qFormat/>
    <w:rsid w:val="004A4A4E"/>
    <w:pPr>
      <w:spacing w:before="120" w:after="120"/>
    </w:pPr>
    <w:rPr>
      <w:rFonts w:eastAsiaTheme="minorEastAsia"/>
      <w:lang w:eastAsia="en-AU"/>
    </w:rPr>
  </w:style>
  <w:style w:type="character" w:customStyle="1" w:styleId="ParanonumbersChar">
    <w:name w:val="Para no numbers Char"/>
    <w:link w:val="Paranonumbers"/>
    <w:locked/>
    <w:rsid w:val="004A4A4E"/>
    <w:rPr>
      <w:rFonts w:eastAsiaTheme="minorEastAsia"/>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0D16B5"/>
    <w:rPr>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paragraph" w:styleId="Heading7">
    <w:name w:val="heading 7"/>
    <w:basedOn w:val="Normal"/>
    <w:next w:val="Normal"/>
    <w:link w:val="Heading7Char"/>
    <w:qFormat/>
    <w:rsid w:val="004A4A4E"/>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4A4A4E"/>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4A4A4E"/>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845BB"/>
    <w:rPr>
      <w:vertAlign w:val="superscript"/>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F845BB"/>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F845BB"/>
    <w:rPr>
      <w:sz w:val="24"/>
      <w:szCs w:val="24"/>
      <w:lang w:eastAsia="en-US"/>
    </w:rPr>
  </w:style>
  <w:style w:type="paragraph" w:styleId="Footer">
    <w:name w:val="footer"/>
    <w:basedOn w:val="Normal"/>
    <w:link w:val="FooterChar"/>
    <w:uiPriority w:val="99"/>
    <w:rsid w:val="00F845BB"/>
    <w:pPr>
      <w:tabs>
        <w:tab w:val="center" w:pos="4513"/>
        <w:tab w:val="right" w:pos="9026"/>
      </w:tabs>
    </w:pPr>
  </w:style>
  <w:style w:type="character" w:customStyle="1" w:styleId="FooterChar">
    <w:name w:val="Footer Char"/>
    <w:basedOn w:val="DefaultParagraphFont"/>
    <w:link w:val="Footer"/>
    <w:uiPriority w:val="99"/>
    <w:rsid w:val="00F845BB"/>
    <w:rPr>
      <w:sz w:val="24"/>
      <w:szCs w:val="24"/>
      <w:lang w:eastAsia="en-US"/>
    </w:rPr>
  </w:style>
  <w:style w:type="paragraph" w:styleId="BalloonText">
    <w:name w:val="Balloon Text"/>
    <w:basedOn w:val="Normal"/>
    <w:link w:val="BalloonTextChar"/>
    <w:rsid w:val="00F845BB"/>
    <w:rPr>
      <w:rFonts w:ascii="Tahoma" w:hAnsi="Tahoma" w:cs="Tahoma"/>
      <w:sz w:val="16"/>
      <w:szCs w:val="16"/>
    </w:rPr>
  </w:style>
  <w:style w:type="character" w:customStyle="1" w:styleId="BalloonTextChar">
    <w:name w:val="Balloon Text Char"/>
    <w:basedOn w:val="DefaultParagraphFont"/>
    <w:link w:val="BalloonText"/>
    <w:rsid w:val="00F845BB"/>
    <w:rPr>
      <w:rFonts w:ascii="Tahoma" w:hAnsi="Tahoma" w:cs="Tahoma"/>
      <w:sz w:val="16"/>
      <w:szCs w:val="16"/>
      <w:lang w:eastAsia="en-US"/>
    </w:rPr>
  </w:style>
  <w:style w:type="character" w:styleId="Hyperlink">
    <w:name w:val="Hyperlink"/>
    <w:basedOn w:val="DefaultParagraphFont"/>
    <w:rsid w:val="00F845BB"/>
    <w:rPr>
      <w:color w:val="0000FF" w:themeColor="hyperlink"/>
      <w:u w:val="single"/>
    </w:rPr>
  </w:style>
  <w:style w:type="character" w:styleId="CommentReference">
    <w:name w:val="annotation reference"/>
    <w:basedOn w:val="DefaultParagraphFont"/>
    <w:rsid w:val="00F71F79"/>
    <w:rPr>
      <w:sz w:val="16"/>
      <w:szCs w:val="16"/>
    </w:rPr>
  </w:style>
  <w:style w:type="paragraph" w:styleId="CommentText">
    <w:name w:val="annotation text"/>
    <w:basedOn w:val="Normal"/>
    <w:link w:val="CommentTextChar"/>
    <w:rsid w:val="00F71F79"/>
    <w:rPr>
      <w:sz w:val="20"/>
      <w:szCs w:val="20"/>
    </w:rPr>
  </w:style>
  <w:style w:type="character" w:customStyle="1" w:styleId="CommentTextChar">
    <w:name w:val="Comment Text Char"/>
    <w:basedOn w:val="DefaultParagraphFont"/>
    <w:link w:val="CommentText"/>
    <w:rsid w:val="00F71F79"/>
    <w:rPr>
      <w:lang w:eastAsia="en-US"/>
    </w:rPr>
  </w:style>
  <w:style w:type="paragraph" w:styleId="CommentSubject">
    <w:name w:val="annotation subject"/>
    <w:basedOn w:val="CommentText"/>
    <w:next w:val="CommentText"/>
    <w:link w:val="CommentSubjectChar"/>
    <w:rsid w:val="00F71F79"/>
    <w:rPr>
      <w:b/>
      <w:bCs/>
    </w:rPr>
  </w:style>
  <w:style w:type="character" w:customStyle="1" w:styleId="CommentSubjectChar">
    <w:name w:val="Comment Subject Char"/>
    <w:basedOn w:val="CommentTextChar"/>
    <w:link w:val="CommentSubject"/>
    <w:rsid w:val="00F71F79"/>
    <w:rPr>
      <w:b/>
      <w:bCs/>
      <w:lang w:eastAsia="en-US"/>
    </w:rPr>
  </w:style>
  <w:style w:type="character" w:customStyle="1" w:styleId="Heading7Char">
    <w:name w:val="Heading 7 Char"/>
    <w:basedOn w:val="DefaultParagraphFont"/>
    <w:link w:val="Heading7"/>
    <w:rsid w:val="004A4A4E"/>
    <w:rPr>
      <w:rFonts w:eastAsiaTheme="minorEastAsia"/>
      <w:sz w:val="24"/>
      <w:szCs w:val="24"/>
    </w:rPr>
  </w:style>
  <w:style w:type="character" w:customStyle="1" w:styleId="Heading8Char">
    <w:name w:val="Heading 8 Char"/>
    <w:basedOn w:val="DefaultParagraphFont"/>
    <w:link w:val="Heading8"/>
    <w:rsid w:val="004A4A4E"/>
    <w:rPr>
      <w:rFonts w:eastAsiaTheme="minorEastAsia"/>
      <w:i/>
      <w:iCs/>
      <w:sz w:val="24"/>
      <w:szCs w:val="24"/>
    </w:rPr>
  </w:style>
  <w:style w:type="character" w:customStyle="1" w:styleId="Heading9Char">
    <w:name w:val="Heading 9 Char"/>
    <w:basedOn w:val="DefaultParagraphFont"/>
    <w:link w:val="Heading9"/>
    <w:rsid w:val="004A4A4E"/>
    <w:rPr>
      <w:rFonts w:ascii="Arial" w:eastAsiaTheme="minorEastAsia" w:hAnsi="Arial" w:cs="Arial"/>
      <w:sz w:val="22"/>
      <w:szCs w:val="22"/>
    </w:rPr>
  </w:style>
  <w:style w:type="character" w:customStyle="1" w:styleId="Heading1Char">
    <w:name w:val="Heading 1 Char"/>
    <w:basedOn w:val="DefaultParagraphFont"/>
    <w:link w:val="Heading1"/>
    <w:rsid w:val="004A4A4E"/>
    <w:rPr>
      <w:rFonts w:cs="Arial"/>
      <w:b/>
      <w:bCs/>
      <w:kern w:val="32"/>
      <w:sz w:val="32"/>
      <w:szCs w:val="32"/>
      <w:lang w:eastAsia="en-US"/>
    </w:rPr>
  </w:style>
  <w:style w:type="paragraph" w:customStyle="1" w:styleId="1RARMP">
    <w:name w:val="1 RARMP"/>
    <w:basedOn w:val="Normal"/>
    <w:qFormat/>
    <w:rsid w:val="004A4A4E"/>
    <w:pPr>
      <w:numPr>
        <w:numId w:val="1"/>
      </w:numPr>
      <w:tabs>
        <w:tab w:val="clear" w:pos="3545"/>
        <w:tab w:val="num" w:pos="284"/>
      </w:tabs>
      <w:spacing w:before="120" w:after="120"/>
      <w:ind w:left="0"/>
      <w:outlineLvl w:val="0"/>
    </w:pPr>
    <w:rPr>
      <w:rFonts w:ascii="Arial" w:eastAsiaTheme="minorEastAsia" w:hAnsi="Arial" w:cs="Arial"/>
      <w:b/>
      <w:bCs/>
      <w:color w:val="000000"/>
      <w:sz w:val="36"/>
      <w:szCs w:val="36"/>
      <w:lang w:eastAsia="en-AU"/>
    </w:rPr>
  </w:style>
  <w:style w:type="paragraph" w:customStyle="1" w:styleId="2RARMP">
    <w:name w:val="2 RARMP"/>
    <w:basedOn w:val="Normal"/>
    <w:qFormat/>
    <w:rsid w:val="004A4A4E"/>
    <w:pPr>
      <w:keepNext/>
      <w:numPr>
        <w:ilvl w:val="1"/>
        <w:numId w:val="1"/>
      </w:numPr>
      <w:tabs>
        <w:tab w:val="clear" w:pos="1957"/>
        <w:tab w:val="left" w:pos="1440"/>
        <w:tab w:val="num" w:pos="1712"/>
      </w:tabs>
      <w:spacing w:before="240" w:after="120"/>
      <w:ind w:left="1712" w:hanging="1712"/>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4A4A4E"/>
    <w:pPr>
      <w:keepNext/>
      <w:numPr>
        <w:ilvl w:val="2"/>
        <w:numId w:val="1"/>
      </w:numPr>
      <w:spacing w:before="120" w:after="120"/>
      <w:outlineLvl w:val="2"/>
    </w:pPr>
    <w:rPr>
      <w:rFonts w:ascii="Arial" w:eastAsiaTheme="minorEastAsia" w:hAnsi="Arial" w:cs="Arial"/>
      <w:b/>
      <w:bCs/>
      <w:lang w:eastAsia="en-AU"/>
    </w:rPr>
  </w:style>
  <w:style w:type="paragraph" w:customStyle="1" w:styleId="4RARMP">
    <w:name w:val="4 RARMP"/>
    <w:basedOn w:val="Normal"/>
    <w:qFormat/>
    <w:rsid w:val="004A4A4E"/>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Paranonumbers">
    <w:name w:val="Para no numbers"/>
    <w:basedOn w:val="Normal"/>
    <w:link w:val="ParanonumbersChar"/>
    <w:qFormat/>
    <w:rsid w:val="004A4A4E"/>
    <w:pPr>
      <w:spacing w:before="120" w:after="120"/>
    </w:pPr>
    <w:rPr>
      <w:rFonts w:eastAsiaTheme="minorEastAsia"/>
      <w:lang w:eastAsia="en-AU"/>
    </w:rPr>
  </w:style>
  <w:style w:type="character" w:customStyle="1" w:styleId="ParanonumbersChar">
    <w:name w:val="Para no numbers Char"/>
    <w:link w:val="Paranonumbers"/>
    <w:locked/>
    <w:rsid w:val="004A4A4E"/>
    <w:rPr>
      <w:rFonts w:eastAsiaTheme="minorEastAsia"/>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0D16B5"/>
    <w:rPr>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gtr@health.gov.au" TargetMode="External"/><Relationship Id="rId1" Type="http://schemas.openxmlformats.org/officeDocument/2006/relationships/hyperlink" Target="http://www.ogt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4474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125 - Summary of the Risk Assessment and Risk Management Plan (RARMP)</dc:title>
  <dc:creator>Office of the Gene Technology Regulator</dc:creator>
  <cp:lastModifiedBy>Smith Justine</cp:lastModifiedBy>
  <cp:revision>2</cp:revision>
  <dcterms:created xsi:type="dcterms:W3CDTF">2014-12-17T03:30:00Z</dcterms:created>
  <dcterms:modified xsi:type="dcterms:W3CDTF">2014-12-17T03:30:00Z</dcterms:modified>
</cp:coreProperties>
</file>