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ABE" w:rsidRPr="00827157" w:rsidRDefault="00660821" w:rsidP="00CA69FA">
      <w:pPr>
        <w:spacing w:before="240" w:after="240"/>
        <w:jc w:val="right"/>
      </w:pPr>
      <w:bookmarkStart w:id="0" w:name="_Toc397698930"/>
      <w:bookmarkStart w:id="1" w:name="_Toc209859545"/>
      <w:bookmarkStart w:id="2" w:name="_Toc236620543"/>
      <w:bookmarkStart w:id="3" w:name="_Toc259790166"/>
      <w:bookmarkStart w:id="4" w:name="_Toc198434571"/>
      <w:bookmarkStart w:id="5" w:name="_Toc167164262"/>
      <w:bookmarkStart w:id="6" w:name="_Toc174765844"/>
      <w:r>
        <w:t>12</w:t>
      </w:r>
      <w:r w:rsidR="00511E99" w:rsidRPr="00073308">
        <w:t xml:space="preserve"> </w:t>
      </w:r>
      <w:r w:rsidR="00511E99">
        <w:t>August 2015</w:t>
      </w:r>
    </w:p>
    <w:p w:rsidR="00465704" w:rsidRPr="00465704" w:rsidRDefault="00465704" w:rsidP="00CA69FA">
      <w:pPr>
        <w:jc w:val="center"/>
        <w:outlineLvl w:val="0"/>
        <w:rPr>
          <w:rFonts w:ascii="Arial" w:hAnsi="Arial" w:cs="Arial"/>
          <w:b/>
          <w:sz w:val="36"/>
          <w:szCs w:val="36"/>
        </w:rPr>
      </w:pPr>
      <w:bookmarkStart w:id="7" w:name="_Toc404868315"/>
      <w:bookmarkEnd w:id="0"/>
      <w:bookmarkEnd w:id="1"/>
      <w:bookmarkEnd w:id="2"/>
      <w:bookmarkEnd w:id="3"/>
      <w:bookmarkEnd w:id="4"/>
      <w:bookmarkEnd w:id="5"/>
      <w:bookmarkEnd w:id="6"/>
      <w:r w:rsidRPr="00465704">
        <w:rPr>
          <w:rFonts w:ascii="Arial" w:hAnsi="Arial" w:cs="Arial"/>
          <w:b/>
          <w:sz w:val="36"/>
          <w:szCs w:val="36"/>
        </w:rPr>
        <w:t>Summary of the Risk Assessment and Risk Management Plan</w:t>
      </w:r>
      <w:bookmarkEnd w:id="7"/>
    </w:p>
    <w:p w:rsidR="00465704" w:rsidRPr="00465704" w:rsidRDefault="00465704" w:rsidP="00465704">
      <w:pPr>
        <w:jc w:val="center"/>
        <w:rPr>
          <w:rFonts w:ascii="Arial" w:hAnsi="Arial" w:cs="Arial"/>
          <w:b/>
          <w:sz w:val="32"/>
          <w:szCs w:val="36"/>
        </w:rPr>
      </w:pPr>
      <w:r w:rsidRPr="00465704">
        <w:rPr>
          <w:rFonts w:ascii="Arial" w:hAnsi="Arial" w:cs="Arial"/>
          <w:b/>
          <w:sz w:val="32"/>
          <w:szCs w:val="36"/>
        </w:rPr>
        <w:t>for</w:t>
      </w:r>
    </w:p>
    <w:p w:rsidR="00465704" w:rsidRPr="006404A8" w:rsidRDefault="00D75FB6" w:rsidP="00465704">
      <w:pPr>
        <w:jc w:val="center"/>
        <w:rPr>
          <w:caps/>
          <w:sz w:val="36"/>
          <w:szCs w:val="36"/>
        </w:rPr>
      </w:pPr>
      <w:r>
        <w:rPr>
          <w:rFonts w:ascii="Arial" w:hAnsi="Arial" w:cs="Arial"/>
          <w:b/>
          <w:sz w:val="36"/>
          <w:szCs w:val="36"/>
        </w:rPr>
        <w:t>Licence Application No. DIR-</w:t>
      </w:r>
      <w:r w:rsidR="00511E99">
        <w:rPr>
          <w:rFonts w:ascii="Arial" w:hAnsi="Arial" w:cs="Arial"/>
          <w:b/>
          <w:sz w:val="36"/>
          <w:szCs w:val="36"/>
        </w:rPr>
        <w:t>132</w:t>
      </w:r>
    </w:p>
    <w:p w:rsidR="00511E99" w:rsidRPr="000405C5" w:rsidRDefault="00511E99" w:rsidP="00511E99">
      <w:pPr>
        <w:pStyle w:val="Heading2"/>
        <w:rPr>
          <w:rFonts w:ascii="Arial" w:hAnsi="Arial"/>
        </w:rPr>
      </w:pPr>
      <w:r w:rsidRPr="000405C5">
        <w:rPr>
          <w:rFonts w:ascii="Arial" w:hAnsi="Arial"/>
        </w:rPr>
        <w:t>Decision</w:t>
      </w:r>
    </w:p>
    <w:p w:rsidR="00072D46" w:rsidRDefault="00072D46" w:rsidP="00072D46">
      <w:pPr>
        <w:pStyle w:val="Paranonumbers"/>
      </w:pPr>
      <w:r w:rsidRPr="006404A8">
        <w:t>The Gene Technology Regulator (the Regulator) has</w:t>
      </w:r>
      <w:r>
        <w:t xml:space="preserve"> decided to issue</w:t>
      </w:r>
      <w:r w:rsidRPr="006404A8">
        <w:t xml:space="preserve"> a licence </w:t>
      </w:r>
      <w:r>
        <w:t xml:space="preserve">for this </w:t>
      </w:r>
      <w:r w:rsidRPr="006404A8">
        <w:t>application</w:t>
      </w:r>
      <w:r>
        <w:t>.</w:t>
      </w:r>
      <w:r w:rsidRPr="00231154">
        <w:t xml:space="preserve"> </w:t>
      </w:r>
      <w:r>
        <w:t>The licence authorises import, transport, storage and disposal of the genetically modified (GM) virus, known as Talimogene laherparepvec, for the purpose of its commercial supply as a therapeutic product.</w:t>
      </w:r>
    </w:p>
    <w:p w:rsidR="00072D46" w:rsidRPr="000A1854" w:rsidRDefault="00072D46" w:rsidP="00072D46">
      <w:pPr>
        <w:pStyle w:val="Paranonumbers"/>
      </w:pPr>
      <w:r w:rsidRPr="000A1854">
        <w:t xml:space="preserve">A Risk Assessment and Risk Management Plan (RARMP) for this application was prepared by the Regulator in accordance with requirements of the </w:t>
      </w:r>
      <w:r>
        <w:rPr>
          <w:i/>
        </w:rPr>
        <w:t>Gene Technology Act 2000</w:t>
      </w:r>
      <w:r>
        <w:t xml:space="preserve"> (the Act)</w:t>
      </w:r>
      <w:r w:rsidRPr="000A1854">
        <w:t xml:space="preserve">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proposed. However, general licence conditions have been imposed to ensure that there is ongoing oversight of the licenced dealings.</w:t>
      </w:r>
    </w:p>
    <w:p w:rsidR="00511E99" w:rsidRDefault="00072D46" w:rsidP="00072D46">
      <w:pPr>
        <w:pStyle w:val="Paranonumbers"/>
      </w:pPr>
      <w:r>
        <w:t xml:space="preserve">Before this genetically modified (GMO) can be used as a therapeutic, Amgen must also obtain regulatory approval from the Therapeutic Goods Administration (TGA). Medicines and other therapeutic goods for sale in Australia are required to be assessed for quality, safety and efficacy under the </w:t>
      </w:r>
      <w:r>
        <w:rPr>
          <w:i/>
        </w:rPr>
        <w:t>Therapeutic Goods Act 1989</w:t>
      </w:r>
      <w:r>
        <w:t xml:space="preserve"> and must be included in the Australian Register of Therapeutic Goods (ARTG).</w:t>
      </w:r>
      <w:r w:rsidRPr="008F2525">
        <w:t xml:space="preserve"> </w:t>
      </w:r>
      <w:r>
        <w:t>The TGA are currently considering an application from Amgen</w:t>
      </w:r>
      <w:r w:rsidRPr="00D72CA5">
        <w:t xml:space="preserve"> to have </w:t>
      </w:r>
      <w:r w:rsidRPr="00897187">
        <w:t>Talimogene laherparepvec</w:t>
      </w:r>
      <w:r w:rsidRPr="00D72CA5">
        <w:t xml:space="preserve"> included on the </w:t>
      </w:r>
      <w:r>
        <w:rPr>
          <w:lang w:val="en"/>
        </w:rPr>
        <w:t>ARTG</w:t>
      </w:r>
      <w:r w:rsidRPr="00D72CA5">
        <w:t>.</w:t>
      </w:r>
      <w:r>
        <w:t xml:space="preserve"> The OGTR will continue to consult with the TGA during the assessment of the application. Amgen will also need approval from the Department of Agriculture for import of the GMO.</w:t>
      </w:r>
    </w:p>
    <w:p w:rsidR="00511E99" w:rsidRPr="000405C5" w:rsidRDefault="00511E99" w:rsidP="00511E99">
      <w:pPr>
        <w:pStyle w:val="Heading2"/>
        <w:rPr>
          <w:rFonts w:ascii="Arial" w:hAnsi="Arial"/>
        </w:rPr>
      </w:pPr>
      <w:bookmarkStart w:id="8" w:name="_Toc423356088"/>
      <w:r w:rsidRPr="000405C5">
        <w:rPr>
          <w:rFonts w:ascii="Arial" w:hAnsi="Arial"/>
        </w:rPr>
        <w:t>The application</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summary information about the licence application at a glance. The table has 8 rows, one each for Application Number, Applicant, Project title, Parent organism, Introduced or modified genes and modified traits, Proposed locations, Proposed release dates, and proposed activities."/>
      </w:tblPr>
      <w:tblGrid>
        <w:gridCol w:w="2600"/>
        <w:gridCol w:w="5922"/>
      </w:tblGrid>
      <w:tr w:rsidR="00511E99" w:rsidRPr="006404A8" w:rsidDel="0041500E" w:rsidTr="00072D46">
        <w:trPr>
          <w:cantSplit/>
        </w:trPr>
        <w:tc>
          <w:tcPr>
            <w:tcW w:w="2600" w:type="dxa"/>
            <w:shd w:val="clear" w:color="auto" w:fill="auto"/>
          </w:tcPr>
          <w:p w:rsidR="00511E99" w:rsidRPr="006404A8" w:rsidDel="0041500E" w:rsidRDefault="00511E99" w:rsidP="00E65E4C">
            <w:pPr>
              <w:spacing w:before="60" w:after="60"/>
            </w:pPr>
            <w:r w:rsidRPr="006404A8">
              <w:t>Application number</w:t>
            </w:r>
          </w:p>
        </w:tc>
        <w:tc>
          <w:tcPr>
            <w:tcW w:w="5922" w:type="dxa"/>
            <w:shd w:val="clear" w:color="auto" w:fill="auto"/>
          </w:tcPr>
          <w:p w:rsidR="00511E99" w:rsidRPr="006404A8" w:rsidDel="0041500E" w:rsidRDefault="00C358FA" w:rsidP="00E65E4C">
            <w:pPr>
              <w:spacing w:before="60" w:after="60"/>
            </w:pPr>
            <w:r>
              <w:t>DIR-</w:t>
            </w:r>
            <w:r w:rsidR="00511E99">
              <w:t>132</w:t>
            </w:r>
          </w:p>
        </w:tc>
      </w:tr>
      <w:tr w:rsidR="00511E99" w:rsidRPr="006404A8" w:rsidDel="0041500E" w:rsidTr="00072D46">
        <w:trPr>
          <w:cantSplit/>
        </w:trPr>
        <w:tc>
          <w:tcPr>
            <w:tcW w:w="2600" w:type="dxa"/>
            <w:shd w:val="clear" w:color="auto" w:fill="auto"/>
          </w:tcPr>
          <w:p w:rsidR="00511E99" w:rsidRPr="006404A8" w:rsidDel="0041500E" w:rsidRDefault="00511E99" w:rsidP="00E65E4C">
            <w:pPr>
              <w:spacing w:before="60" w:after="60"/>
            </w:pPr>
            <w:r w:rsidRPr="006404A8">
              <w:t>Applicant</w:t>
            </w:r>
          </w:p>
        </w:tc>
        <w:tc>
          <w:tcPr>
            <w:tcW w:w="5922" w:type="dxa"/>
            <w:shd w:val="clear" w:color="auto" w:fill="auto"/>
          </w:tcPr>
          <w:p w:rsidR="00511E99" w:rsidRPr="006404A8" w:rsidDel="0041500E" w:rsidRDefault="00511E99" w:rsidP="00E65E4C">
            <w:pPr>
              <w:spacing w:before="60" w:after="60"/>
            </w:pPr>
            <w:r w:rsidRPr="00A136E5">
              <w:t>Amgen Australia Pty Ltd</w:t>
            </w:r>
            <w:r>
              <w:t xml:space="preserve"> (Amgen)</w:t>
            </w:r>
          </w:p>
        </w:tc>
      </w:tr>
      <w:tr w:rsidR="00511E99" w:rsidRPr="006404A8" w:rsidTr="00072D46">
        <w:trPr>
          <w:cantSplit/>
        </w:trPr>
        <w:tc>
          <w:tcPr>
            <w:tcW w:w="2600" w:type="dxa"/>
            <w:shd w:val="clear" w:color="auto" w:fill="auto"/>
          </w:tcPr>
          <w:p w:rsidR="00511E99" w:rsidRPr="006404A8" w:rsidRDefault="00511E99" w:rsidP="00E65E4C">
            <w:pPr>
              <w:spacing w:before="60" w:after="60"/>
            </w:pPr>
            <w:r w:rsidRPr="006404A8">
              <w:t>Project title</w:t>
            </w:r>
          </w:p>
        </w:tc>
        <w:tc>
          <w:tcPr>
            <w:tcW w:w="5922" w:type="dxa"/>
            <w:shd w:val="clear" w:color="auto" w:fill="auto"/>
          </w:tcPr>
          <w:p w:rsidR="00511E99" w:rsidRPr="006404A8" w:rsidRDefault="00511E99" w:rsidP="00E65E4C">
            <w:pPr>
              <w:spacing w:before="60" w:after="60"/>
            </w:pPr>
            <w:r w:rsidRPr="00A136E5">
              <w:t xml:space="preserve">Commercial </w:t>
            </w:r>
            <w:r>
              <w:t>supply</w:t>
            </w:r>
            <w:r w:rsidRPr="00A136E5">
              <w:t xml:space="preserve"> of a tumour-selective genetically modified virus for cancer therapy</w:t>
            </w:r>
            <w:r>
              <w:rPr>
                <w:rStyle w:val="FootnoteReference"/>
              </w:rPr>
              <w:footnoteReference w:id="1"/>
            </w:r>
          </w:p>
        </w:tc>
      </w:tr>
      <w:tr w:rsidR="00511E99" w:rsidRPr="006404A8" w:rsidTr="00072D46">
        <w:trPr>
          <w:cantSplit/>
        </w:trPr>
        <w:tc>
          <w:tcPr>
            <w:tcW w:w="2600" w:type="dxa"/>
            <w:shd w:val="clear" w:color="auto" w:fill="auto"/>
          </w:tcPr>
          <w:p w:rsidR="00511E99" w:rsidRPr="006404A8" w:rsidRDefault="00511E99" w:rsidP="00E65E4C">
            <w:pPr>
              <w:spacing w:before="60" w:after="60"/>
            </w:pPr>
            <w:r w:rsidRPr="006404A8">
              <w:t>Parent organism</w:t>
            </w:r>
          </w:p>
        </w:tc>
        <w:tc>
          <w:tcPr>
            <w:tcW w:w="5922" w:type="dxa"/>
            <w:shd w:val="clear" w:color="auto" w:fill="auto"/>
          </w:tcPr>
          <w:p w:rsidR="00511E99" w:rsidRPr="006404A8" w:rsidRDefault="00511E99" w:rsidP="00E65E4C">
            <w:pPr>
              <w:spacing w:before="60" w:after="60"/>
            </w:pPr>
            <w:r w:rsidRPr="00A136E5">
              <w:rPr>
                <w:i/>
              </w:rPr>
              <w:t xml:space="preserve">Herpes simplex virus 1 </w:t>
            </w:r>
            <w:r w:rsidRPr="005D4D17">
              <w:t>(HSV-1)</w:t>
            </w:r>
            <w:r>
              <w:t>,</w:t>
            </w:r>
            <w:r w:rsidRPr="005D4D17">
              <w:t xml:space="preserve"> strain JS1</w:t>
            </w:r>
          </w:p>
        </w:tc>
      </w:tr>
      <w:tr w:rsidR="00511E99" w:rsidRPr="006404A8" w:rsidTr="00072D46">
        <w:trPr>
          <w:cantSplit/>
        </w:trPr>
        <w:tc>
          <w:tcPr>
            <w:tcW w:w="2600" w:type="dxa"/>
            <w:shd w:val="clear" w:color="auto" w:fill="auto"/>
          </w:tcPr>
          <w:p w:rsidR="00511E99" w:rsidRPr="006404A8" w:rsidRDefault="00511E99" w:rsidP="00E65E4C">
            <w:pPr>
              <w:spacing w:before="60" w:after="60"/>
            </w:pPr>
            <w:r w:rsidRPr="006404A8">
              <w:lastRenderedPageBreak/>
              <w:t>Introduced or modified genes and resulting modified traits</w:t>
            </w:r>
          </w:p>
        </w:tc>
        <w:tc>
          <w:tcPr>
            <w:tcW w:w="5922" w:type="dxa"/>
            <w:shd w:val="clear" w:color="auto" w:fill="auto"/>
          </w:tcPr>
          <w:p w:rsidR="00511E99" w:rsidRPr="005D4D17" w:rsidRDefault="00511E99" w:rsidP="00511E99">
            <w:pPr>
              <w:pStyle w:val="ListParagraph"/>
              <w:keepNext/>
              <w:numPr>
                <w:ilvl w:val="0"/>
                <w:numId w:val="3"/>
              </w:numPr>
              <w:tabs>
                <w:tab w:val="right" w:leader="dot" w:pos="9356"/>
              </w:tabs>
              <w:autoSpaceDE w:val="0"/>
              <w:autoSpaceDN w:val="0"/>
              <w:spacing w:before="60" w:after="60"/>
              <w:ind w:left="459"/>
              <w:rPr>
                <w:iCs/>
              </w:rPr>
            </w:pPr>
            <w:r w:rsidRPr="005D4D17">
              <w:rPr>
                <w:iCs/>
              </w:rPr>
              <w:t xml:space="preserve">deletion of </w:t>
            </w:r>
            <w:r w:rsidRPr="005F3842">
              <w:rPr>
                <w:i/>
                <w:iCs/>
              </w:rPr>
              <w:t>ICP34.5</w:t>
            </w:r>
            <w:r w:rsidRPr="005D4D17">
              <w:rPr>
                <w:iCs/>
              </w:rPr>
              <w:t xml:space="preserve"> </w:t>
            </w:r>
            <w:r>
              <w:rPr>
                <w:iCs/>
              </w:rPr>
              <w:t xml:space="preserve">gene </w:t>
            </w:r>
            <w:r w:rsidRPr="005D4D17">
              <w:rPr>
                <w:iCs/>
              </w:rPr>
              <w:t>(human therapeutic - attenuation)</w:t>
            </w:r>
          </w:p>
          <w:p w:rsidR="00511E99" w:rsidRPr="005D4D17" w:rsidRDefault="00511E99" w:rsidP="00511E99">
            <w:pPr>
              <w:pStyle w:val="ListParagraph"/>
              <w:keepNext/>
              <w:numPr>
                <w:ilvl w:val="0"/>
                <w:numId w:val="3"/>
              </w:numPr>
              <w:tabs>
                <w:tab w:val="right" w:leader="dot" w:pos="9356"/>
              </w:tabs>
              <w:autoSpaceDE w:val="0"/>
              <w:autoSpaceDN w:val="0"/>
              <w:spacing w:before="60" w:after="60"/>
              <w:ind w:left="459"/>
              <w:rPr>
                <w:iCs/>
              </w:rPr>
            </w:pPr>
            <w:r w:rsidRPr="005D4D17">
              <w:rPr>
                <w:iCs/>
              </w:rPr>
              <w:t xml:space="preserve">deletion of </w:t>
            </w:r>
            <w:r w:rsidRPr="005F3842">
              <w:rPr>
                <w:i/>
                <w:iCs/>
              </w:rPr>
              <w:t>ICD47</w:t>
            </w:r>
            <w:r w:rsidRPr="005D4D17">
              <w:rPr>
                <w:iCs/>
              </w:rPr>
              <w:t xml:space="preserve"> </w:t>
            </w:r>
            <w:r>
              <w:rPr>
                <w:iCs/>
              </w:rPr>
              <w:t xml:space="preserve">gene </w:t>
            </w:r>
            <w:r w:rsidRPr="005D4D17">
              <w:rPr>
                <w:iCs/>
              </w:rPr>
              <w:t>(human therapeutic - enhanced immune response)</w:t>
            </w:r>
          </w:p>
          <w:p w:rsidR="00511E99" w:rsidRPr="005D4D17" w:rsidRDefault="00511E99" w:rsidP="00511E99">
            <w:pPr>
              <w:pStyle w:val="ListParagraph"/>
              <w:keepNext/>
              <w:numPr>
                <w:ilvl w:val="0"/>
                <w:numId w:val="3"/>
              </w:numPr>
              <w:tabs>
                <w:tab w:val="right" w:leader="dot" w:pos="9356"/>
              </w:tabs>
              <w:autoSpaceDE w:val="0"/>
              <w:autoSpaceDN w:val="0"/>
              <w:spacing w:before="60" w:after="60"/>
              <w:ind w:left="459"/>
              <w:rPr>
                <w:iCs/>
              </w:rPr>
            </w:pPr>
            <w:r w:rsidRPr="005F3842">
              <w:rPr>
                <w:i/>
                <w:iCs/>
              </w:rPr>
              <w:t xml:space="preserve">hGM-CSF </w:t>
            </w:r>
            <w:r>
              <w:rPr>
                <w:iCs/>
              </w:rPr>
              <w:t xml:space="preserve">gene encoding </w:t>
            </w:r>
            <w:r w:rsidRPr="005D4D17">
              <w:rPr>
                <w:iCs/>
              </w:rPr>
              <w:t>Granulocyte-Macrophage Colony-Stimulating Factor</w:t>
            </w:r>
            <w:r>
              <w:rPr>
                <w:iCs/>
              </w:rPr>
              <w:t xml:space="preserve"> from humans</w:t>
            </w:r>
            <w:r w:rsidRPr="005D4D17">
              <w:rPr>
                <w:iCs/>
              </w:rPr>
              <w:t xml:space="preserve"> (human therapeutic - enhanced immune response)</w:t>
            </w:r>
          </w:p>
        </w:tc>
      </w:tr>
      <w:tr w:rsidR="00511E99" w:rsidRPr="006404A8" w:rsidTr="00072D46">
        <w:trPr>
          <w:cantSplit/>
        </w:trPr>
        <w:tc>
          <w:tcPr>
            <w:tcW w:w="2600" w:type="dxa"/>
            <w:shd w:val="clear" w:color="auto" w:fill="auto"/>
          </w:tcPr>
          <w:p w:rsidR="00511E99" w:rsidRPr="006404A8" w:rsidRDefault="00511E99" w:rsidP="00E65E4C">
            <w:pPr>
              <w:spacing w:before="60" w:after="60"/>
            </w:pPr>
            <w:r w:rsidRPr="006404A8">
              <w:t>Proposed locations</w:t>
            </w:r>
          </w:p>
        </w:tc>
        <w:tc>
          <w:tcPr>
            <w:tcW w:w="5922" w:type="dxa"/>
            <w:shd w:val="clear" w:color="auto" w:fill="auto"/>
          </w:tcPr>
          <w:p w:rsidR="00511E99" w:rsidRPr="006404A8" w:rsidRDefault="00511E99" w:rsidP="00E65E4C">
            <w:r>
              <w:t>A</w:t>
            </w:r>
            <w:r w:rsidRPr="005D4D17">
              <w:t>t clinical facilities throughout Australia (subject to approval by the Therapeutic Goods Administration)</w:t>
            </w:r>
          </w:p>
        </w:tc>
      </w:tr>
      <w:tr w:rsidR="00511E99" w:rsidRPr="006404A8" w:rsidTr="00072D46">
        <w:trPr>
          <w:cantSplit/>
        </w:trPr>
        <w:tc>
          <w:tcPr>
            <w:tcW w:w="2600" w:type="dxa"/>
            <w:shd w:val="clear" w:color="auto" w:fill="auto"/>
          </w:tcPr>
          <w:p w:rsidR="00511E99" w:rsidRPr="006404A8" w:rsidRDefault="00511E99" w:rsidP="00E65E4C">
            <w:pPr>
              <w:spacing w:before="60" w:after="60"/>
            </w:pPr>
            <w:r w:rsidRPr="006404A8">
              <w:t xml:space="preserve">Proposed </w:t>
            </w:r>
            <w:r>
              <w:t>release</w:t>
            </w:r>
            <w:r w:rsidRPr="006404A8">
              <w:t xml:space="preserve"> </w:t>
            </w:r>
            <w:r>
              <w:t>date</w:t>
            </w:r>
          </w:p>
        </w:tc>
        <w:tc>
          <w:tcPr>
            <w:tcW w:w="5922" w:type="dxa"/>
            <w:shd w:val="clear" w:color="auto" w:fill="auto"/>
          </w:tcPr>
          <w:p w:rsidR="00511E99" w:rsidRPr="006404A8" w:rsidRDefault="00511E99" w:rsidP="00E65E4C">
            <w:pPr>
              <w:spacing w:before="60" w:after="60"/>
            </w:pPr>
            <w:r w:rsidRPr="00834CBD">
              <w:t>Ongoing from date of approval</w:t>
            </w:r>
          </w:p>
        </w:tc>
      </w:tr>
      <w:tr w:rsidR="00511E99" w:rsidRPr="006404A8" w:rsidTr="00072D46">
        <w:trPr>
          <w:cantSplit/>
        </w:trPr>
        <w:tc>
          <w:tcPr>
            <w:tcW w:w="2600" w:type="dxa"/>
            <w:shd w:val="clear" w:color="auto" w:fill="auto"/>
          </w:tcPr>
          <w:p w:rsidR="00511E99" w:rsidRPr="00735AC9" w:rsidRDefault="00511E99" w:rsidP="00E65E4C">
            <w:pPr>
              <w:spacing w:before="60" w:after="60"/>
            </w:pPr>
            <w:r w:rsidRPr="00735AC9">
              <w:t>Pr</w:t>
            </w:r>
            <w:r>
              <w:t xml:space="preserve">oposed activities </w:t>
            </w:r>
          </w:p>
        </w:tc>
        <w:tc>
          <w:tcPr>
            <w:tcW w:w="5922" w:type="dxa"/>
            <w:shd w:val="clear" w:color="auto" w:fill="auto"/>
          </w:tcPr>
          <w:p w:rsidR="00511E99" w:rsidRPr="006404A8" w:rsidRDefault="00511E99" w:rsidP="00E65E4C">
            <w:pPr>
              <w:spacing w:before="60" w:after="60"/>
            </w:pPr>
            <w:r>
              <w:t xml:space="preserve">Import, storage, transport and disposal of the GM </w:t>
            </w:r>
            <w:r w:rsidRPr="00A136E5">
              <w:t xml:space="preserve">virus for </w:t>
            </w:r>
            <w:r>
              <w:t xml:space="preserve">the purpose of </w:t>
            </w:r>
            <w:r w:rsidRPr="005D4D17">
              <w:t xml:space="preserve">administration by healthcare professionals as a prescription </w:t>
            </w:r>
            <w:r>
              <w:t xml:space="preserve">only </w:t>
            </w:r>
            <w:r w:rsidRPr="005D4D17">
              <w:t>medication</w:t>
            </w:r>
            <w:r w:rsidRPr="00A136E5">
              <w:t xml:space="preserve"> </w:t>
            </w:r>
            <w:r>
              <w:t>for</w:t>
            </w:r>
            <w:r w:rsidRPr="00A136E5">
              <w:t xml:space="preserve"> cancer therapy</w:t>
            </w:r>
            <w:r>
              <w:t xml:space="preserve"> </w:t>
            </w:r>
            <w:r w:rsidRPr="005D4D17">
              <w:t>(</w:t>
            </w:r>
            <w:r>
              <w:t xml:space="preserve">administration is </w:t>
            </w:r>
            <w:r w:rsidRPr="005D4D17">
              <w:t xml:space="preserve">subject </w:t>
            </w:r>
            <w:r>
              <w:t>to Therapeutic Goods Administration approval</w:t>
            </w:r>
            <w:r w:rsidRPr="005D4D17">
              <w:t>)</w:t>
            </w:r>
          </w:p>
        </w:tc>
      </w:tr>
    </w:tbl>
    <w:p w:rsidR="00072D46" w:rsidRDefault="00072D46" w:rsidP="00072D46">
      <w:pPr>
        <w:pStyle w:val="Paranonumbers"/>
        <w:spacing w:before="240"/>
      </w:pPr>
      <w:bookmarkStart w:id="9" w:name="_Toc414025676"/>
      <w:bookmarkStart w:id="10" w:name="_Toc423356089"/>
      <w:bookmarkStart w:id="11" w:name="_Toc209859551"/>
      <w:bookmarkStart w:id="12" w:name="_Toc274904730"/>
      <w:bookmarkStart w:id="13" w:name="_Toc291151780"/>
      <w:r w:rsidRPr="00F13C7A">
        <w:t xml:space="preserve">Amgen Australia Pty Ltd (Amgen) proposes </w:t>
      </w:r>
      <w:r>
        <w:t xml:space="preserve">the </w:t>
      </w:r>
      <w:r w:rsidRPr="00F13C7A">
        <w:t xml:space="preserve">commercial </w:t>
      </w:r>
      <w:r>
        <w:t>supply</w:t>
      </w:r>
      <w:r w:rsidRPr="00F13C7A">
        <w:t xml:space="preserve"> of a genetically modified </w:t>
      </w:r>
      <w:r w:rsidRPr="00F13C7A">
        <w:rPr>
          <w:i/>
        </w:rPr>
        <w:t>Herpes simplex virus 1</w:t>
      </w:r>
      <w:r>
        <w:rPr>
          <w:i/>
        </w:rPr>
        <w:t xml:space="preserve"> </w:t>
      </w:r>
      <w:r w:rsidRPr="009843BF">
        <w:t>(HSV-1)</w:t>
      </w:r>
      <w:r>
        <w:t>. Subject to approval by the TGA,</w:t>
      </w:r>
      <w:r w:rsidRPr="0012581C">
        <w:t xml:space="preserve"> </w:t>
      </w:r>
      <w:r>
        <w:t>the GMO</w:t>
      </w:r>
      <w:r w:rsidRPr="00F13C7A">
        <w:t xml:space="preserve"> </w:t>
      </w:r>
      <w:r>
        <w:t xml:space="preserve">would be used as a prescription only </w:t>
      </w:r>
      <w:r w:rsidRPr="00F13C7A">
        <w:t xml:space="preserve">treatment </w:t>
      </w:r>
      <w:r>
        <w:t xml:space="preserve">for </w:t>
      </w:r>
      <w:r w:rsidRPr="00F13C7A">
        <w:t xml:space="preserve">patients </w:t>
      </w:r>
      <w:r w:rsidRPr="008C6CFB">
        <w:t>with skin cancer</w:t>
      </w:r>
      <w:r>
        <w:t xml:space="preserve"> (</w:t>
      </w:r>
      <w:r w:rsidRPr="00F13C7A">
        <w:t>metastatic melanoma</w:t>
      </w:r>
      <w:r>
        <w:t xml:space="preserve">) and other suitable solid tumours </w:t>
      </w:r>
      <w:r w:rsidRPr="008C6CFB">
        <w:t xml:space="preserve">that </w:t>
      </w:r>
      <w:r>
        <w:t>are</w:t>
      </w:r>
      <w:r w:rsidRPr="008C6CFB">
        <w:t xml:space="preserve"> unable to be removed by surgery</w:t>
      </w:r>
      <w:r>
        <w:t xml:space="preserve">. The GMO will be administered to patients by </w:t>
      </w:r>
      <w:r w:rsidRPr="00075F9D">
        <w:t>injection</w:t>
      </w:r>
      <w:r>
        <w:t xml:space="preserve"> directly into the tumour. The GMO would</w:t>
      </w:r>
      <w:r w:rsidRPr="00F13C7A">
        <w:t xml:space="preserve"> be manufactured overseas</w:t>
      </w:r>
      <w:r>
        <w:t xml:space="preserve"> and </w:t>
      </w:r>
      <w:r w:rsidRPr="00F13C7A">
        <w:t>import</w:t>
      </w:r>
      <w:r>
        <w:t>ed</w:t>
      </w:r>
      <w:r w:rsidRPr="00F13C7A">
        <w:t xml:space="preserve"> into Australia </w:t>
      </w:r>
      <w:r>
        <w:t>for use in</w:t>
      </w:r>
      <w:r w:rsidRPr="00F13C7A">
        <w:t xml:space="preserve"> clinical facilities</w:t>
      </w:r>
      <w:r>
        <w:t xml:space="preserve"> equipped</w:t>
      </w:r>
      <w:r w:rsidRPr="00BD508E">
        <w:t xml:space="preserve"> to deal with scheduled drugs and infectious agents</w:t>
      </w:r>
      <w:r w:rsidRPr="00F13C7A">
        <w:t>.</w:t>
      </w:r>
    </w:p>
    <w:p w:rsidR="00072D46" w:rsidRDefault="00072D46" w:rsidP="00072D46">
      <w:pPr>
        <w:pStyle w:val="Paranonumbers"/>
        <w:spacing w:before="240"/>
      </w:pPr>
      <w:r>
        <w:t xml:space="preserve">Naturally occurring HSV-1 is a human pathogen that causes local skin lesions. It is </w:t>
      </w:r>
      <w:r w:rsidRPr="00023D75">
        <w:t>highly</w:t>
      </w:r>
      <w:r>
        <w:t xml:space="preserve"> contagious and widespread in the environment, with around 80% of the population estimated to be seropositive for the virus. Primary infection occurs most commonly in oral mucosal tissue (e.g. cold sore) and generally prior to the age of three. The primary infection is usually mild and self-limiting, although in a minority of cases infection may be severe, including disseminated disease and encephalitis. With the exception of neonates and immune-compromised people, HSV-1 infection is not systemic and is limited to the epithelial cells and sensory ganglia of the infection site.</w:t>
      </w:r>
    </w:p>
    <w:p w:rsidR="00072D46" w:rsidRDefault="00072D46" w:rsidP="00072D46">
      <w:pPr>
        <w:pStyle w:val="Paranonumbers"/>
        <w:spacing w:before="240"/>
        <w:rPr>
          <w:spacing w:val="5"/>
        </w:rPr>
      </w:pPr>
      <w:r>
        <w:t xml:space="preserve">The GMO is an attenuated HSV-1 modified to selectively replicate in tumours (rapidly dividing cells) and enhance the immune response in treated cancer patients. </w:t>
      </w:r>
      <w:r w:rsidRPr="00C66F18">
        <w:rPr>
          <w:spacing w:val="5"/>
        </w:rPr>
        <w:t>To produce the GM</w:t>
      </w:r>
      <w:r>
        <w:rPr>
          <w:spacing w:val="5"/>
        </w:rPr>
        <w:t>O</w:t>
      </w:r>
      <w:r w:rsidRPr="00C66F18">
        <w:rPr>
          <w:spacing w:val="5"/>
        </w:rPr>
        <w:t xml:space="preserve">, HSV-1 </w:t>
      </w:r>
      <w:r>
        <w:rPr>
          <w:spacing w:val="5"/>
        </w:rPr>
        <w:t>was</w:t>
      </w:r>
      <w:r w:rsidRPr="00C66F18">
        <w:rPr>
          <w:spacing w:val="5"/>
        </w:rPr>
        <w:t xml:space="preserve"> modified by removing specific viral genes involved in </w:t>
      </w:r>
      <w:r>
        <w:rPr>
          <w:spacing w:val="5"/>
        </w:rPr>
        <w:t>viral replication</w:t>
      </w:r>
      <w:r w:rsidRPr="00C66F18">
        <w:rPr>
          <w:spacing w:val="5"/>
        </w:rPr>
        <w:t xml:space="preserve"> and viral antigen presentation, and by introduction of a gene encoding a human protein that stimulates certain types of immune cells.</w:t>
      </w:r>
    </w:p>
    <w:p w:rsidR="00073308" w:rsidRPr="0096243D" w:rsidRDefault="00073308" w:rsidP="00073308">
      <w:pPr>
        <w:pStyle w:val="Paranonumbers"/>
        <w:spacing w:before="240"/>
        <w:rPr>
          <w:spacing w:val="5"/>
        </w:rPr>
      </w:pPr>
      <w:bookmarkStart w:id="14" w:name="_Toc414025677"/>
      <w:bookmarkStart w:id="15" w:name="_Toc423356090"/>
      <w:bookmarkEnd w:id="9"/>
      <w:bookmarkEnd w:id="10"/>
      <w:r>
        <w:t>The GMO has not previously been used commercially, however it has been used in clinical trials on skin cancer and several advanced solid tumour types in multiple countries, including the United Kingdom, Canada, South Africa and the USA. In Australia, a phase III clinical trial of the GMO, under the name OncoVEX</w:t>
      </w:r>
      <w:r w:rsidRPr="001D50E8">
        <w:rPr>
          <w:vertAlign w:val="superscript"/>
        </w:rPr>
        <w:t>gm-csf</w:t>
      </w:r>
      <w:r>
        <w:t>, is being conducted under a GMO licence for dealings not involving intentional release (DNIR) of a GMO into the environment (licence DNIR-461). Australian patients started receiving treatment under DNIR-461 in December 2014.</w:t>
      </w:r>
    </w:p>
    <w:p w:rsidR="00511E99" w:rsidRPr="000405C5" w:rsidRDefault="00511E99" w:rsidP="00511E99">
      <w:pPr>
        <w:pStyle w:val="Heading2"/>
        <w:rPr>
          <w:rFonts w:ascii="Arial" w:hAnsi="Arial"/>
        </w:rPr>
      </w:pPr>
      <w:r w:rsidRPr="000405C5">
        <w:rPr>
          <w:rFonts w:ascii="Arial" w:hAnsi="Arial"/>
        </w:rPr>
        <w:lastRenderedPageBreak/>
        <w:t>Risk assessment</w:t>
      </w:r>
      <w:bookmarkEnd w:id="14"/>
      <w:bookmarkEnd w:id="15"/>
    </w:p>
    <w:p w:rsidR="00072D46" w:rsidRPr="00D5152E" w:rsidRDefault="00072D46" w:rsidP="00072D46">
      <w:pPr>
        <w:pStyle w:val="Paranonumbers"/>
        <w:spacing w:before="0"/>
        <w:rPr>
          <w:bCs/>
        </w:rPr>
      </w:pPr>
      <w:bookmarkStart w:id="16" w:name="_Toc209859549"/>
      <w:bookmarkStart w:id="17" w:name="_Toc274904728"/>
      <w:bookmarkStart w:id="18" w:name="_Toc291151778"/>
      <w:bookmarkStart w:id="19" w:name="_Toc414025678"/>
      <w:bookmarkStart w:id="20" w:name="_Toc423356091"/>
      <w:r w:rsidRPr="00031D91">
        <w:t xml:space="preserve">The risk </w:t>
      </w:r>
      <w:r>
        <w:t>assessment</w:t>
      </w:r>
      <w:r w:rsidRPr="00031D91">
        <w:t xml:space="preserve"> concludes that </w:t>
      </w:r>
      <w:r w:rsidRPr="00F85A4A">
        <w:t xml:space="preserve">risks </w:t>
      </w:r>
      <w:r>
        <w:t>from the proposed dealings</w:t>
      </w:r>
      <w:r w:rsidRPr="00D5152E">
        <w:t xml:space="preserve">, either in the short or long term, to the health and safety of people, or the environment, are </w:t>
      </w:r>
      <w:r w:rsidRPr="00D5152E">
        <w:rPr>
          <w:bCs/>
        </w:rPr>
        <w:t xml:space="preserve">negligible. No specific risk treatment measures are </w:t>
      </w:r>
      <w:r>
        <w:rPr>
          <w:bCs/>
        </w:rPr>
        <w:t>required to manage these negligible risks</w:t>
      </w:r>
      <w:r w:rsidRPr="00D5152E">
        <w:rPr>
          <w:bCs/>
        </w:rPr>
        <w:t>.</w:t>
      </w:r>
    </w:p>
    <w:p w:rsidR="00072D46" w:rsidRPr="00913847" w:rsidRDefault="00072D46" w:rsidP="00072D46">
      <w:pPr>
        <w:spacing w:before="120" w:after="120"/>
      </w:pPr>
      <w:r w:rsidRPr="00913847">
        <w:t>The risk assessment process considers how the genetic modification</w:t>
      </w:r>
      <w:r>
        <w:t>s</w:t>
      </w:r>
      <w:r w:rsidRPr="00913847">
        <w:t xml:space="preserve"> and proposed activities conducted with the GMOs might lead to harm to people or the environment. Risks are characterised in relation to both the seriousness and likelihood of harm, taking into account information in the application (including proposed controls), relevant previous approvals and current scientific/technical knowledge. Both the short and long term impact are considered.</w:t>
      </w:r>
    </w:p>
    <w:p w:rsidR="00072D46" w:rsidRDefault="00072D46" w:rsidP="00072D46">
      <w:pPr>
        <w:pStyle w:val="Paranonumbers"/>
      </w:pPr>
      <w:r>
        <w:t>T</w:t>
      </w:r>
      <w:r w:rsidRPr="008F2525">
        <w:t>o avoid duplication of regulatory</w:t>
      </w:r>
      <w:r>
        <w:t xml:space="preserve"> oversight, t</w:t>
      </w:r>
      <w:r w:rsidRPr="008F2525">
        <w:t>he Regulator</w:t>
      </w:r>
      <w:r>
        <w:t xml:space="preserve"> </w:t>
      </w:r>
      <w:r w:rsidR="00660821">
        <w:t>does</w:t>
      </w:r>
      <w:r>
        <w:t xml:space="preserve"> not assess</w:t>
      </w:r>
      <w:r w:rsidRPr="008F2525">
        <w:t xml:space="preserve"> risks to people receiving </w:t>
      </w:r>
      <w:r>
        <w:t xml:space="preserve">or administering </w:t>
      </w:r>
      <w:r w:rsidRPr="008F2525">
        <w:t xml:space="preserve">the </w:t>
      </w:r>
      <w:r>
        <w:t xml:space="preserve">GMO as a therapeutic. However, import, transport and disposal are regulated under the </w:t>
      </w:r>
      <w:r w:rsidRPr="007F3E8F">
        <w:rPr>
          <w:i/>
        </w:rPr>
        <w:t>Gene Technology Act 2000</w:t>
      </w:r>
      <w:r>
        <w:rPr>
          <w:i/>
        </w:rPr>
        <w:t xml:space="preserve"> </w:t>
      </w:r>
      <w:r w:rsidRPr="00102F1D">
        <w:t>(the Act)</w:t>
      </w:r>
      <w:r>
        <w:t>, and the Regulator has</w:t>
      </w:r>
      <w:r w:rsidRPr="008F2525">
        <w:t xml:space="preserve"> asses</w:t>
      </w:r>
      <w:r>
        <w:t>sed</w:t>
      </w:r>
      <w:r w:rsidRPr="008F2525">
        <w:t xml:space="preserve"> risks posed to people and to the environment</w:t>
      </w:r>
      <w:r>
        <w:t xml:space="preserve"> associated with these activities.</w:t>
      </w:r>
    </w:p>
    <w:p w:rsidR="00072D46" w:rsidRPr="00913847" w:rsidRDefault="00072D46" w:rsidP="00072D46">
      <w:pPr>
        <w:pStyle w:val="Paranonumbers"/>
      </w:pPr>
      <w:r w:rsidRPr="00913847">
        <w:t>Credible pathways to potential harm that were considered included whether or not expression of the introduced genes</w:t>
      </w:r>
      <w:r w:rsidRPr="008B0832">
        <w:t xml:space="preserve"> </w:t>
      </w:r>
      <w:r>
        <w:t>and genetic modifications</w:t>
      </w:r>
      <w:r w:rsidRPr="005B4EF1">
        <w:t xml:space="preserve"> could: result in products that are toxic to people or other organisms; alter characteristics that may impact on the disease burden </w:t>
      </w:r>
      <w:r>
        <w:t>from the</w:t>
      </w:r>
      <w:r w:rsidRPr="005B4EF1">
        <w:t xml:space="preserve"> GM virus, or produce unintended changes in viral characteristics. The opportunity for gene transfer to other organisms</w:t>
      </w:r>
      <w:r w:rsidRPr="00913847">
        <w:t>, and its effects if it were to occur, was also considered.</w:t>
      </w:r>
    </w:p>
    <w:p w:rsidR="00072D46" w:rsidRPr="00913847" w:rsidRDefault="00072D46" w:rsidP="00072D46">
      <w:pPr>
        <w:pStyle w:val="Paranonumbers"/>
      </w:pPr>
      <w:r w:rsidRPr="00913847">
        <w:t xml:space="preserve">A </w:t>
      </w:r>
      <w:r w:rsidRPr="00D71568">
        <w:t xml:space="preserve">substantive </w:t>
      </w:r>
      <w:r w:rsidRPr="00913847">
        <w:t xml:space="preserve">risk is only identified for further assessment when a risk scenario </w:t>
      </w:r>
      <w:r w:rsidRPr="00D71568">
        <w:t>is considered to have some reasonable chance of causing harm</w:t>
      </w:r>
      <w:r w:rsidRPr="00913847">
        <w:t>. Pathways that do not lead to harm, or could not reasonably occur, do not advance in the risk assessment process.</w:t>
      </w:r>
    </w:p>
    <w:p w:rsidR="00072D46" w:rsidRPr="00913847" w:rsidRDefault="00072D46" w:rsidP="00072D46">
      <w:pPr>
        <w:pStyle w:val="Paranonumbers"/>
      </w:pPr>
      <w:r w:rsidRPr="00913847">
        <w:t>The risks to the health and safety of people, or the environment, from the proposed dealings with the GM virus have been assessed to be negligible. Hence, the Regulator considers that the dealings involved do not pose a significant risk to either people or the environment.</w:t>
      </w:r>
    </w:p>
    <w:p w:rsidR="00072D46" w:rsidRPr="0032136F" w:rsidRDefault="00072D46" w:rsidP="00072D46">
      <w:pPr>
        <w:spacing w:before="120" w:after="120"/>
      </w:pPr>
      <w:r w:rsidRPr="0032136F">
        <w:t xml:space="preserve">The principal reasons for the conclusion of negligible risks are that the proposed controls </w:t>
      </w:r>
      <w:r>
        <w:t xml:space="preserve">applicable to therapeutic goods </w:t>
      </w:r>
      <w:r w:rsidRPr="0032136F">
        <w:t xml:space="preserve">effectively </w:t>
      </w:r>
      <w:r>
        <w:t xml:space="preserve">minimise unintended exposure to </w:t>
      </w:r>
      <w:r w:rsidRPr="0032136F">
        <w:t xml:space="preserve">the GMO; </w:t>
      </w:r>
      <w:r>
        <w:t>the parent virus only infects humans and the genetic modifications have not altered this specificity; the</w:t>
      </w:r>
      <w:r w:rsidRPr="0032136F">
        <w:t xml:space="preserve"> genetic modifications </w:t>
      </w:r>
      <w:r>
        <w:t>attenuate the GM virus such that its ability to replicate, to be transmitted or persist are significantly reduced</w:t>
      </w:r>
      <w:r w:rsidRPr="0032136F">
        <w:t xml:space="preserve">; the introduced gene is </w:t>
      </w:r>
      <w:r>
        <w:t>of human origin and not expected to be toxic to people or the environment</w:t>
      </w:r>
      <w:r w:rsidRPr="0032136F">
        <w:t>.</w:t>
      </w:r>
    </w:p>
    <w:p w:rsidR="00511E99" w:rsidRPr="000405C5" w:rsidRDefault="00511E99" w:rsidP="00511E99">
      <w:pPr>
        <w:pStyle w:val="Heading2"/>
        <w:rPr>
          <w:rFonts w:ascii="Arial" w:hAnsi="Arial"/>
        </w:rPr>
      </w:pPr>
      <w:r w:rsidRPr="000405C5">
        <w:rPr>
          <w:rFonts w:ascii="Arial" w:hAnsi="Arial"/>
        </w:rPr>
        <w:t>Risk management</w:t>
      </w:r>
      <w:bookmarkEnd w:id="16"/>
      <w:r w:rsidRPr="000405C5">
        <w:rPr>
          <w:rFonts w:ascii="Arial" w:hAnsi="Arial"/>
        </w:rPr>
        <w:t xml:space="preserve"> plan</w:t>
      </w:r>
      <w:bookmarkEnd w:id="17"/>
      <w:bookmarkEnd w:id="18"/>
      <w:bookmarkEnd w:id="19"/>
      <w:bookmarkEnd w:id="20"/>
    </w:p>
    <w:bookmarkEnd w:id="11"/>
    <w:bookmarkEnd w:id="12"/>
    <w:bookmarkEnd w:id="13"/>
    <w:p w:rsidR="00072D46" w:rsidRDefault="00072D46" w:rsidP="00072D46">
      <w:pPr>
        <w:spacing w:before="120" w:after="120"/>
      </w:pPr>
      <w:r w:rsidRPr="00D608A6">
        <w:t xml:space="preserve">Risk management is used to protect the health and safety of people and to protect the environment by controlling or mitigating risk. </w:t>
      </w:r>
      <w:r w:rsidRPr="006404A8">
        <w:t>The risk management plan evaluates and treats identified risks, evaluates controls and limits proposed by the applicant, and considers general risk management measures. The risk management plan is given effect through licence conditions.</w:t>
      </w:r>
    </w:p>
    <w:p w:rsidR="00F845BB" w:rsidRPr="00072D46" w:rsidRDefault="00072D46" w:rsidP="00072D46">
      <w:pPr>
        <w:spacing w:before="120" w:after="120"/>
        <w:rPr>
          <w:rFonts w:ascii="Arial" w:hAnsi="Arial" w:cs="Arial"/>
          <w:sz w:val="20"/>
        </w:rPr>
      </w:pPr>
      <w:r w:rsidRPr="00D5152E">
        <w:t xml:space="preserve">As the level of risk is assessed as negligible, specific risk treatment is not required. </w:t>
      </w:r>
      <w:r>
        <w:t xml:space="preserve">However, the Regulator has imposed licence conditions </w:t>
      </w:r>
      <w:r w:rsidRPr="00D5152E">
        <w:t>under post-release review (PRR)</w:t>
      </w:r>
      <w:r w:rsidRPr="00C54A2D">
        <w:t xml:space="preserve"> </w:t>
      </w:r>
      <w:r w:rsidRPr="00D5152E">
        <w:t>to ensure that there is ongoing oversight of the release and to allow the collection of information to verify the findings of the RARMP.</w:t>
      </w:r>
      <w:r>
        <w:t xml:space="preserve"> The licence also contains a number of general conditions relating to ongoing licence holder suitability, auditing and monitoring, and reporting requirements, which include an obligation to report any unintended effects.</w:t>
      </w:r>
    </w:p>
    <w:sectPr w:rsidR="00F845BB" w:rsidRPr="00072D46" w:rsidSect="00CA69FA">
      <w:headerReference w:type="default" r:id="rId8"/>
      <w:footerReference w:type="default" r:id="rId9"/>
      <w:headerReference w:type="first" r:id="rId10"/>
      <w:footerReference w:type="first" r:id="rId11"/>
      <w:pgSz w:w="11906" w:h="16838" w:code="9"/>
      <w:pgMar w:top="1361" w:right="1361" w:bottom="1247" w:left="1361"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A83" w:rsidRDefault="00353A83" w:rsidP="00F845BB">
      <w:r>
        <w:separator/>
      </w:r>
    </w:p>
  </w:endnote>
  <w:endnote w:type="continuationSeparator" w:id="0">
    <w:p w:rsidR="00353A83" w:rsidRDefault="00353A83" w:rsidP="00F8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157" w:rsidRPr="004E498B" w:rsidRDefault="00CA69FA" w:rsidP="00CA69FA">
    <w:pPr>
      <w:pStyle w:val="Footer"/>
      <w:pBdr>
        <w:top w:val="single" w:sz="4" w:space="1" w:color="auto"/>
      </w:pBdr>
      <w:jc w:val="right"/>
      <w:rPr>
        <w:sz w:val="20"/>
      </w:rPr>
    </w:pPr>
    <w:r w:rsidRPr="004E498B">
      <w:rPr>
        <w:sz w:val="20"/>
      </w:rPr>
      <w:fldChar w:fldCharType="begin"/>
    </w:r>
    <w:r w:rsidRPr="004E498B">
      <w:rPr>
        <w:sz w:val="20"/>
      </w:rPr>
      <w:instrText xml:space="preserve"> PAGE   \* MERGEFORMAT </w:instrText>
    </w:r>
    <w:r w:rsidRPr="004E498B">
      <w:rPr>
        <w:sz w:val="20"/>
      </w:rPr>
      <w:fldChar w:fldCharType="separate"/>
    </w:r>
    <w:r w:rsidR="00E902D4">
      <w:rPr>
        <w:noProof/>
        <w:sz w:val="20"/>
      </w:rPr>
      <w:t>3</w:t>
    </w:r>
    <w:r w:rsidRPr="004E498B">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157" w:rsidRPr="000101BE" w:rsidRDefault="00827157" w:rsidP="00CA69FA">
    <w:pPr>
      <w:pStyle w:val="Footer"/>
      <w:pBdr>
        <w:top w:val="single" w:sz="4" w:space="1" w:color="auto"/>
      </w:pBdr>
      <w:jc w:val="center"/>
      <w:rPr>
        <w:sz w:val="18"/>
        <w:szCs w:val="18"/>
      </w:rPr>
    </w:pPr>
    <w:r w:rsidRPr="000101BE">
      <w:rPr>
        <w:sz w:val="18"/>
        <w:szCs w:val="18"/>
      </w:rPr>
      <w:t xml:space="preserve">Address: MDP 54 GPO Box 9848 Canberra ACT 2601  </w:t>
    </w:r>
    <w:hyperlink r:id="rId1" w:history="1">
      <w:r w:rsidR="00E902D4" w:rsidRPr="00E902D4">
        <w:rPr>
          <w:rStyle w:val="Hyperlink"/>
          <w:sz w:val="18"/>
          <w:szCs w:val="18"/>
        </w:rPr>
        <w:t xml:space="preserve">OGTR </w:t>
      </w:r>
      <w:r w:rsidRPr="00E902D4">
        <w:rPr>
          <w:rStyle w:val="Hyperlink"/>
          <w:sz w:val="18"/>
          <w:szCs w:val="18"/>
        </w:rPr>
        <w:t>Website</w:t>
      </w:r>
      <w:bookmarkStart w:id="21" w:name="_GoBack"/>
      <w:bookmarkEnd w:id="21"/>
    </w:hyperlink>
  </w:p>
  <w:p w:rsidR="00827157" w:rsidRPr="00827157" w:rsidRDefault="00827157" w:rsidP="00827157">
    <w:pPr>
      <w:pStyle w:val="Footer"/>
      <w:jc w:val="center"/>
      <w:rPr>
        <w:sz w:val="22"/>
      </w:rPr>
    </w:pPr>
    <w:r w:rsidRPr="000101BE">
      <w:rPr>
        <w:sz w:val="18"/>
        <w:szCs w:val="18"/>
      </w:rPr>
      <w:t xml:space="preserve">Telephone: 1800 181 030  Facsimile: 02 6271 4202  Email: </w:t>
    </w:r>
    <w:hyperlink r:id="rId2" w:history="1">
      <w:r w:rsidRPr="000101BE">
        <w:rPr>
          <w:rStyle w:val="Hyperlink"/>
          <w:sz w:val="18"/>
          <w:szCs w:val="18"/>
        </w:rPr>
        <w:t>ogtr@health.gov.au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A83" w:rsidRDefault="00353A83" w:rsidP="00F845BB">
      <w:r>
        <w:separator/>
      </w:r>
    </w:p>
  </w:footnote>
  <w:footnote w:type="continuationSeparator" w:id="0">
    <w:p w:rsidR="00353A83" w:rsidRDefault="00353A83" w:rsidP="00F845BB">
      <w:r>
        <w:continuationSeparator/>
      </w:r>
    </w:p>
  </w:footnote>
  <w:footnote w:id="1">
    <w:p w:rsidR="00511E99" w:rsidRPr="00D97524" w:rsidRDefault="00511E99" w:rsidP="00511E99">
      <w:pPr>
        <w:pStyle w:val="Footer"/>
        <w:rPr>
          <w:sz w:val="20"/>
          <w:szCs w:val="20"/>
        </w:rPr>
      </w:pPr>
      <w:r>
        <w:rPr>
          <w:rStyle w:val="FootnoteReference"/>
        </w:rPr>
        <w:footnoteRef/>
      </w:r>
      <w:r>
        <w:t xml:space="preserve"> </w:t>
      </w:r>
      <w:r w:rsidRPr="00E35240">
        <w:rPr>
          <w:sz w:val="20"/>
          <w:szCs w:val="20"/>
        </w:rPr>
        <w:t>The titl</w:t>
      </w:r>
      <w:r>
        <w:rPr>
          <w:sz w:val="20"/>
          <w:szCs w:val="20"/>
        </w:rPr>
        <w:t>e of the project as supplied by Amgen</w:t>
      </w:r>
      <w:r w:rsidRPr="00E35240">
        <w:rPr>
          <w:sz w:val="20"/>
          <w:szCs w:val="20"/>
        </w:rPr>
        <w:t xml:space="preserve"> is ‘Commercial Release of a tumour-selective genetically modified viru</w:t>
      </w:r>
      <w:r>
        <w:rPr>
          <w:sz w:val="20"/>
          <w:szCs w:val="20"/>
        </w:rPr>
        <w:t>s for oncolytic immunotherapy.’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B5" w:rsidRPr="000D16B5" w:rsidRDefault="000D16B5" w:rsidP="000D16B5">
    <w:pPr>
      <w:pStyle w:val="Header"/>
      <w:pBdr>
        <w:bottom w:val="single" w:sz="6" w:space="1" w:color="auto"/>
      </w:pBdr>
      <w:jc w:val="center"/>
      <w:rPr>
        <w:rFonts w:ascii="Calibri" w:hAnsi="Calibri"/>
        <w:sz w:val="18"/>
      </w:rPr>
    </w:pPr>
    <w:r w:rsidRPr="000D16B5">
      <w:rPr>
        <w:rFonts w:ascii="Calibri" w:hAnsi="Calibri"/>
        <w:sz w:val="18"/>
      </w:rPr>
      <w:t>Office of the Gene Technology Regulator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B5" w:rsidRDefault="000D16B5">
    <w:pPr>
      <w:pStyle w:val="Header"/>
    </w:pPr>
    <w:r>
      <w:rPr>
        <w:noProof/>
        <w:lang w:eastAsia="en-AU"/>
      </w:rPr>
      <w:drawing>
        <wp:inline distT="0" distB="0" distL="0" distR="0" wp14:anchorId="149E6A9A" wp14:editId="1C6C538A">
          <wp:extent cx="3345180" cy="958850"/>
          <wp:effectExtent l="0" t="0" r="7620" b="0"/>
          <wp:docPr id="2" name="Picture 2"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18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E6ABF"/>
    <w:multiLevelType w:val="multilevel"/>
    <w:tmpl w:val="D3BA3F96"/>
    <w:lvl w:ilvl="0">
      <w:start w:val="1"/>
      <w:numFmt w:val="decimal"/>
      <w:pStyle w:val="1RARMP"/>
      <w:lvlText w:val="Chapter %1"/>
      <w:lvlJc w:val="left"/>
      <w:pPr>
        <w:tabs>
          <w:tab w:val="num" w:pos="3545"/>
        </w:tabs>
        <w:ind w:left="3261"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1957"/>
        </w:tabs>
        <w:ind w:left="1957" w:hanging="1531"/>
      </w:pPr>
      <w:rPr>
        <w:rFonts w:ascii="Arial" w:hAnsi="Arial" w:cs="Arial" w:hint="default"/>
        <w:b/>
        <w:bCs/>
        <w:i/>
        <w:iCs/>
        <w:sz w:val="28"/>
        <w:szCs w:val="28"/>
        <w:u w:val="none"/>
      </w:rPr>
    </w:lvl>
    <w:lvl w:ilvl="2">
      <w:start w:val="1"/>
      <w:numFmt w:val="decimal"/>
      <w:pStyle w:val="3RARMP"/>
      <w:lvlText w:val="%2.%3"/>
      <w:lvlJc w:val="left"/>
      <w:pPr>
        <w:tabs>
          <w:tab w:val="num" w:pos="284"/>
        </w:tabs>
        <w:ind w:left="0" w:firstLine="0"/>
      </w:pPr>
      <w:rPr>
        <w:rFonts w:ascii="Arial" w:hAnsi="Arial" w:cs="Arial" w:hint="default"/>
        <w:b/>
        <w:bCs/>
        <w:i w:val="0"/>
        <w:iCs w:val="0"/>
        <w:sz w:val="24"/>
        <w:szCs w:val="24"/>
        <w:u w:val="none"/>
      </w:rPr>
    </w:lvl>
    <w:lvl w:ilvl="3">
      <w:start w:val="1"/>
      <w:numFmt w:val="decimal"/>
      <w:pStyle w:val="4RARMP"/>
      <w:lvlText w:val="%2.%3.%4"/>
      <w:lvlJc w:val="left"/>
      <w:pPr>
        <w:tabs>
          <w:tab w:val="num" w:pos="284"/>
        </w:tabs>
        <w:ind w:left="0" w:firstLine="0"/>
      </w:pPr>
      <w:rPr>
        <w:rFonts w:ascii="Arial" w:hAnsi="Arial"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4E5721B5"/>
    <w:multiLevelType w:val="hybridMultilevel"/>
    <w:tmpl w:val="DC066800"/>
    <w:lvl w:ilvl="0" w:tplc="5866BF0C">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E821C16"/>
    <w:multiLevelType w:val="hybridMultilevel"/>
    <w:tmpl w:val="C9A41B6C"/>
    <w:lvl w:ilvl="0" w:tplc="4A924896">
      <w:start w:val="1"/>
      <w:numFmt w:val="decimal"/>
      <w:pStyle w:val="Para"/>
      <w:lvlText w:val="%1."/>
      <w:lvlJc w:val="left"/>
      <w:pPr>
        <w:tabs>
          <w:tab w:val="num" w:pos="36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BB"/>
    <w:rsid w:val="000101BE"/>
    <w:rsid w:val="000405C5"/>
    <w:rsid w:val="00072D46"/>
    <w:rsid w:val="00073308"/>
    <w:rsid w:val="000D16B5"/>
    <w:rsid w:val="0015410E"/>
    <w:rsid w:val="001822AC"/>
    <w:rsid w:val="001B3443"/>
    <w:rsid w:val="001D4271"/>
    <w:rsid w:val="001F0322"/>
    <w:rsid w:val="00201F04"/>
    <w:rsid w:val="0021577F"/>
    <w:rsid w:val="00220F1B"/>
    <w:rsid w:val="0030786C"/>
    <w:rsid w:val="00353A83"/>
    <w:rsid w:val="003647C7"/>
    <w:rsid w:val="00394729"/>
    <w:rsid w:val="003E56B7"/>
    <w:rsid w:val="00457563"/>
    <w:rsid w:val="00465704"/>
    <w:rsid w:val="004867E2"/>
    <w:rsid w:val="004A4A4E"/>
    <w:rsid w:val="004C3985"/>
    <w:rsid w:val="004D392E"/>
    <w:rsid w:val="004E498B"/>
    <w:rsid w:val="00511E99"/>
    <w:rsid w:val="00513518"/>
    <w:rsid w:val="005444D6"/>
    <w:rsid w:val="0055432F"/>
    <w:rsid w:val="00602F24"/>
    <w:rsid w:val="00631390"/>
    <w:rsid w:val="00660821"/>
    <w:rsid w:val="006A0EA3"/>
    <w:rsid w:val="007D563F"/>
    <w:rsid w:val="007D6DF1"/>
    <w:rsid w:val="008264EB"/>
    <w:rsid w:val="00827157"/>
    <w:rsid w:val="00877ABE"/>
    <w:rsid w:val="009546D9"/>
    <w:rsid w:val="00985759"/>
    <w:rsid w:val="009D6D3D"/>
    <w:rsid w:val="00B42851"/>
    <w:rsid w:val="00B87C67"/>
    <w:rsid w:val="00BA2F0B"/>
    <w:rsid w:val="00C215EA"/>
    <w:rsid w:val="00C327EC"/>
    <w:rsid w:val="00C358FA"/>
    <w:rsid w:val="00C66BF2"/>
    <w:rsid w:val="00CA69FA"/>
    <w:rsid w:val="00CB18FA"/>
    <w:rsid w:val="00CB5B1A"/>
    <w:rsid w:val="00D170F3"/>
    <w:rsid w:val="00D75FB6"/>
    <w:rsid w:val="00E170A4"/>
    <w:rsid w:val="00E544A2"/>
    <w:rsid w:val="00E902D4"/>
    <w:rsid w:val="00EB0BE5"/>
    <w:rsid w:val="00EC18A2"/>
    <w:rsid w:val="00F106E9"/>
    <w:rsid w:val="00F71834"/>
    <w:rsid w:val="00F71F79"/>
    <w:rsid w:val="00F845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paragraph" w:styleId="Heading7">
    <w:name w:val="heading 7"/>
    <w:basedOn w:val="Normal"/>
    <w:next w:val="Normal"/>
    <w:link w:val="Heading7Char"/>
    <w:qFormat/>
    <w:rsid w:val="004A4A4E"/>
    <w:pPr>
      <w:numPr>
        <w:ilvl w:val="6"/>
        <w:numId w:val="1"/>
      </w:numPr>
      <w:spacing w:before="240" w:after="60"/>
      <w:outlineLvl w:val="6"/>
    </w:pPr>
    <w:rPr>
      <w:rFonts w:eastAsiaTheme="minorEastAsia"/>
      <w:lang w:eastAsia="en-AU"/>
    </w:rPr>
  </w:style>
  <w:style w:type="paragraph" w:styleId="Heading8">
    <w:name w:val="heading 8"/>
    <w:basedOn w:val="Normal"/>
    <w:next w:val="Normal"/>
    <w:link w:val="Heading8Char"/>
    <w:qFormat/>
    <w:rsid w:val="004A4A4E"/>
    <w:pPr>
      <w:numPr>
        <w:ilvl w:val="7"/>
        <w:numId w:val="1"/>
      </w:numPr>
      <w:spacing w:before="240" w:after="60"/>
      <w:outlineLvl w:val="7"/>
    </w:pPr>
    <w:rPr>
      <w:rFonts w:eastAsiaTheme="minorEastAsia"/>
      <w:i/>
      <w:iCs/>
      <w:lang w:eastAsia="en-AU"/>
    </w:rPr>
  </w:style>
  <w:style w:type="paragraph" w:styleId="Heading9">
    <w:name w:val="heading 9"/>
    <w:basedOn w:val="Normal"/>
    <w:next w:val="Normal"/>
    <w:link w:val="Heading9Char"/>
    <w:qFormat/>
    <w:rsid w:val="004A4A4E"/>
    <w:pPr>
      <w:numPr>
        <w:ilvl w:val="8"/>
        <w:numId w:val="1"/>
      </w:numPr>
      <w:spacing w:before="240" w:after="60"/>
      <w:outlineLvl w:val="8"/>
    </w:pPr>
    <w:rPr>
      <w:rFonts w:ascii="Arial" w:eastAsiaTheme="minorEastAsia"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845BB"/>
    <w:rPr>
      <w:vertAlign w:val="superscript"/>
    </w:r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qFormat/>
    <w:rsid w:val="00F845BB"/>
    <w:pPr>
      <w:tabs>
        <w:tab w:val="center" w:pos="4513"/>
        <w:tab w:val="right" w:pos="9026"/>
      </w:tabs>
    </w:pPr>
  </w:style>
  <w:style w:type="character" w:customStyle="1" w:styleId="HeaderChar">
    <w:name w:val="Header Char"/>
    <w:aliases w:val="Caption Char Char1,Header Char Char Char1,Caption Char Char Char Char1,Header Char Char Char Char Char1,Caption Char Char Char Char Char Char1,Header Char Char Char Char Char Char Char1,Caption Char Char Char Char Char Char Char Char1"/>
    <w:basedOn w:val="DefaultParagraphFont"/>
    <w:link w:val="Header"/>
    <w:uiPriority w:val="99"/>
    <w:rsid w:val="00F845BB"/>
    <w:rPr>
      <w:sz w:val="24"/>
      <w:szCs w:val="24"/>
      <w:lang w:eastAsia="en-US"/>
    </w:rPr>
  </w:style>
  <w:style w:type="paragraph" w:styleId="Footer">
    <w:name w:val="footer"/>
    <w:basedOn w:val="Normal"/>
    <w:link w:val="FooterChar"/>
    <w:uiPriority w:val="99"/>
    <w:rsid w:val="00F845BB"/>
    <w:pPr>
      <w:tabs>
        <w:tab w:val="center" w:pos="4513"/>
        <w:tab w:val="right" w:pos="9026"/>
      </w:tabs>
    </w:pPr>
  </w:style>
  <w:style w:type="character" w:customStyle="1" w:styleId="FooterChar">
    <w:name w:val="Footer Char"/>
    <w:basedOn w:val="DefaultParagraphFont"/>
    <w:link w:val="Footer"/>
    <w:uiPriority w:val="99"/>
    <w:rsid w:val="00F845BB"/>
    <w:rPr>
      <w:sz w:val="24"/>
      <w:szCs w:val="24"/>
      <w:lang w:eastAsia="en-US"/>
    </w:rPr>
  </w:style>
  <w:style w:type="paragraph" w:styleId="BalloonText">
    <w:name w:val="Balloon Text"/>
    <w:basedOn w:val="Normal"/>
    <w:link w:val="BalloonTextChar"/>
    <w:rsid w:val="00F845BB"/>
    <w:rPr>
      <w:rFonts w:ascii="Tahoma" w:hAnsi="Tahoma" w:cs="Tahoma"/>
      <w:sz w:val="16"/>
      <w:szCs w:val="16"/>
    </w:rPr>
  </w:style>
  <w:style w:type="character" w:customStyle="1" w:styleId="BalloonTextChar">
    <w:name w:val="Balloon Text Char"/>
    <w:basedOn w:val="DefaultParagraphFont"/>
    <w:link w:val="BalloonText"/>
    <w:rsid w:val="00F845BB"/>
    <w:rPr>
      <w:rFonts w:ascii="Tahoma" w:hAnsi="Tahoma" w:cs="Tahoma"/>
      <w:sz w:val="16"/>
      <w:szCs w:val="16"/>
      <w:lang w:eastAsia="en-US"/>
    </w:rPr>
  </w:style>
  <w:style w:type="character" w:styleId="Hyperlink">
    <w:name w:val="Hyperlink"/>
    <w:basedOn w:val="DefaultParagraphFont"/>
    <w:rsid w:val="00F845BB"/>
    <w:rPr>
      <w:color w:val="0000FF" w:themeColor="hyperlink"/>
      <w:u w:val="single"/>
    </w:rPr>
  </w:style>
  <w:style w:type="character" w:styleId="CommentReference">
    <w:name w:val="annotation reference"/>
    <w:basedOn w:val="DefaultParagraphFont"/>
    <w:rsid w:val="00F71F79"/>
    <w:rPr>
      <w:sz w:val="16"/>
      <w:szCs w:val="16"/>
    </w:rPr>
  </w:style>
  <w:style w:type="paragraph" w:styleId="CommentText">
    <w:name w:val="annotation text"/>
    <w:basedOn w:val="Normal"/>
    <w:link w:val="CommentTextChar"/>
    <w:rsid w:val="00F71F79"/>
    <w:rPr>
      <w:sz w:val="20"/>
      <w:szCs w:val="20"/>
    </w:rPr>
  </w:style>
  <w:style w:type="character" w:customStyle="1" w:styleId="CommentTextChar">
    <w:name w:val="Comment Text Char"/>
    <w:basedOn w:val="DefaultParagraphFont"/>
    <w:link w:val="CommentText"/>
    <w:rsid w:val="00F71F79"/>
    <w:rPr>
      <w:lang w:eastAsia="en-US"/>
    </w:rPr>
  </w:style>
  <w:style w:type="paragraph" w:styleId="CommentSubject">
    <w:name w:val="annotation subject"/>
    <w:basedOn w:val="CommentText"/>
    <w:next w:val="CommentText"/>
    <w:link w:val="CommentSubjectChar"/>
    <w:rsid w:val="00F71F79"/>
    <w:rPr>
      <w:b/>
      <w:bCs/>
    </w:rPr>
  </w:style>
  <w:style w:type="character" w:customStyle="1" w:styleId="CommentSubjectChar">
    <w:name w:val="Comment Subject Char"/>
    <w:basedOn w:val="CommentTextChar"/>
    <w:link w:val="CommentSubject"/>
    <w:rsid w:val="00F71F79"/>
    <w:rPr>
      <w:b/>
      <w:bCs/>
      <w:lang w:eastAsia="en-US"/>
    </w:rPr>
  </w:style>
  <w:style w:type="character" w:customStyle="1" w:styleId="Heading7Char">
    <w:name w:val="Heading 7 Char"/>
    <w:basedOn w:val="DefaultParagraphFont"/>
    <w:link w:val="Heading7"/>
    <w:rsid w:val="004A4A4E"/>
    <w:rPr>
      <w:rFonts w:eastAsiaTheme="minorEastAsia"/>
      <w:sz w:val="24"/>
      <w:szCs w:val="24"/>
    </w:rPr>
  </w:style>
  <w:style w:type="character" w:customStyle="1" w:styleId="Heading8Char">
    <w:name w:val="Heading 8 Char"/>
    <w:basedOn w:val="DefaultParagraphFont"/>
    <w:link w:val="Heading8"/>
    <w:rsid w:val="004A4A4E"/>
    <w:rPr>
      <w:rFonts w:eastAsiaTheme="minorEastAsia"/>
      <w:i/>
      <w:iCs/>
      <w:sz w:val="24"/>
      <w:szCs w:val="24"/>
    </w:rPr>
  </w:style>
  <w:style w:type="character" w:customStyle="1" w:styleId="Heading9Char">
    <w:name w:val="Heading 9 Char"/>
    <w:basedOn w:val="DefaultParagraphFont"/>
    <w:link w:val="Heading9"/>
    <w:rsid w:val="004A4A4E"/>
    <w:rPr>
      <w:rFonts w:ascii="Arial" w:eastAsiaTheme="minorEastAsia" w:hAnsi="Arial" w:cs="Arial"/>
      <w:sz w:val="22"/>
      <w:szCs w:val="22"/>
    </w:rPr>
  </w:style>
  <w:style w:type="character" w:customStyle="1" w:styleId="Heading1Char">
    <w:name w:val="Heading 1 Char"/>
    <w:basedOn w:val="DefaultParagraphFont"/>
    <w:link w:val="Heading1"/>
    <w:rsid w:val="004A4A4E"/>
    <w:rPr>
      <w:rFonts w:cs="Arial"/>
      <w:b/>
      <w:bCs/>
      <w:kern w:val="32"/>
      <w:sz w:val="32"/>
      <w:szCs w:val="32"/>
      <w:lang w:eastAsia="en-US"/>
    </w:rPr>
  </w:style>
  <w:style w:type="paragraph" w:customStyle="1" w:styleId="1RARMP">
    <w:name w:val="1 RARMP"/>
    <w:basedOn w:val="Normal"/>
    <w:qFormat/>
    <w:rsid w:val="004A4A4E"/>
    <w:pPr>
      <w:numPr>
        <w:numId w:val="1"/>
      </w:numPr>
      <w:tabs>
        <w:tab w:val="clear" w:pos="3545"/>
        <w:tab w:val="num" w:pos="284"/>
      </w:tabs>
      <w:spacing w:before="120" w:after="120"/>
      <w:ind w:left="0"/>
      <w:outlineLvl w:val="0"/>
    </w:pPr>
    <w:rPr>
      <w:rFonts w:ascii="Arial" w:eastAsiaTheme="minorEastAsia" w:hAnsi="Arial" w:cs="Arial"/>
      <w:b/>
      <w:bCs/>
      <w:color w:val="000000"/>
      <w:sz w:val="36"/>
      <w:szCs w:val="36"/>
      <w:lang w:eastAsia="en-AU"/>
    </w:rPr>
  </w:style>
  <w:style w:type="paragraph" w:customStyle="1" w:styleId="2RARMP">
    <w:name w:val="2 RARMP"/>
    <w:basedOn w:val="Normal"/>
    <w:qFormat/>
    <w:rsid w:val="004A4A4E"/>
    <w:pPr>
      <w:keepNext/>
      <w:numPr>
        <w:ilvl w:val="1"/>
        <w:numId w:val="1"/>
      </w:numPr>
      <w:tabs>
        <w:tab w:val="clear" w:pos="1957"/>
        <w:tab w:val="left" w:pos="1440"/>
        <w:tab w:val="num" w:pos="1712"/>
      </w:tabs>
      <w:spacing w:before="240" w:after="120"/>
      <w:ind w:left="1712" w:hanging="1712"/>
      <w:outlineLvl w:val="1"/>
    </w:pPr>
    <w:rPr>
      <w:rFonts w:ascii="Arial" w:eastAsiaTheme="minorEastAsia" w:hAnsi="Arial" w:cs="Arial"/>
      <w:b/>
      <w:bCs/>
      <w:i/>
      <w:iCs/>
      <w:sz w:val="28"/>
      <w:szCs w:val="28"/>
      <w:lang w:eastAsia="en-AU"/>
    </w:rPr>
  </w:style>
  <w:style w:type="paragraph" w:customStyle="1" w:styleId="3RARMP">
    <w:name w:val="3 RARMP"/>
    <w:basedOn w:val="Normal"/>
    <w:qFormat/>
    <w:rsid w:val="004A4A4E"/>
    <w:pPr>
      <w:keepNext/>
      <w:numPr>
        <w:ilvl w:val="2"/>
        <w:numId w:val="1"/>
      </w:numPr>
      <w:spacing w:before="120" w:after="120"/>
      <w:outlineLvl w:val="2"/>
    </w:pPr>
    <w:rPr>
      <w:rFonts w:ascii="Arial" w:eastAsiaTheme="minorEastAsia" w:hAnsi="Arial" w:cs="Arial"/>
      <w:b/>
      <w:bCs/>
      <w:lang w:eastAsia="en-AU"/>
    </w:rPr>
  </w:style>
  <w:style w:type="paragraph" w:customStyle="1" w:styleId="4RARMP">
    <w:name w:val="4 RARMP"/>
    <w:basedOn w:val="Normal"/>
    <w:qFormat/>
    <w:rsid w:val="004A4A4E"/>
    <w:pPr>
      <w:keepNext/>
      <w:keepLines/>
      <w:numPr>
        <w:ilvl w:val="3"/>
        <w:numId w:val="1"/>
      </w:numPr>
      <w:spacing w:before="120" w:after="120"/>
      <w:outlineLvl w:val="3"/>
    </w:pPr>
    <w:rPr>
      <w:rFonts w:ascii="Arial" w:eastAsiaTheme="minorEastAsia" w:hAnsi="Arial" w:cs="Arial"/>
      <w:b/>
      <w:bCs/>
      <w:i/>
      <w:iCs/>
      <w:sz w:val="22"/>
      <w:szCs w:val="22"/>
      <w:lang w:eastAsia="en-AU"/>
    </w:rPr>
  </w:style>
  <w:style w:type="paragraph" w:customStyle="1" w:styleId="Paranonumbers">
    <w:name w:val="Para no numbers"/>
    <w:basedOn w:val="Normal"/>
    <w:link w:val="ParanonumbersChar"/>
    <w:qFormat/>
    <w:rsid w:val="004A4A4E"/>
    <w:pPr>
      <w:spacing w:before="120" w:after="120"/>
    </w:pPr>
    <w:rPr>
      <w:rFonts w:eastAsiaTheme="minorEastAsia"/>
      <w:lang w:eastAsia="en-AU"/>
    </w:rPr>
  </w:style>
  <w:style w:type="character" w:customStyle="1" w:styleId="ParanonumbersChar">
    <w:name w:val="Para no numbers Char"/>
    <w:link w:val="Paranonumbers"/>
    <w:locked/>
    <w:rsid w:val="004A4A4E"/>
    <w:rPr>
      <w:rFonts w:eastAsiaTheme="minorEastAsia"/>
      <w:sz w:val="24"/>
      <w:szCs w:val="24"/>
    </w:rPr>
  </w:style>
  <w:style w:type="paragraph" w:styleId="Caption">
    <w:name w:val="caption"/>
    <w:aliases w:val="Caption Char Char,Header Char Char Char,Caption Char Char Char Char,Header Char Char Char Char Char,Caption Char Char Char Char Char Char,Header Char Char Char Char Char Char Char,Caption Char Char Char Char Char Char Char Char"/>
    <w:basedOn w:val="Normal"/>
    <w:next w:val="Normal"/>
    <w:qFormat/>
    <w:rsid w:val="000D16B5"/>
    <w:rPr>
      <w:b/>
      <w:bCs/>
      <w:sz w:val="20"/>
      <w:szCs w:val="20"/>
      <w:lang w:eastAsia="en-AU"/>
    </w:rPr>
  </w:style>
  <w:style w:type="paragraph" w:styleId="ListParagraph">
    <w:name w:val="List Paragraph"/>
    <w:basedOn w:val="Normal"/>
    <w:uiPriority w:val="34"/>
    <w:qFormat/>
    <w:rsid w:val="00511E99"/>
    <w:pPr>
      <w:ind w:left="720"/>
      <w:contextualSpacing/>
    </w:pPr>
    <w:rPr>
      <w:rFonts w:eastAsiaTheme="minorEastAsia"/>
      <w:lang w:eastAsia="en-AU"/>
    </w:rPr>
  </w:style>
  <w:style w:type="paragraph" w:customStyle="1" w:styleId="Para">
    <w:name w:val="Para"/>
    <w:basedOn w:val="Normal"/>
    <w:link w:val="ParaChar"/>
    <w:rsid w:val="00511E99"/>
    <w:pPr>
      <w:numPr>
        <w:numId w:val="2"/>
      </w:numPr>
      <w:tabs>
        <w:tab w:val="left" w:pos="567"/>
      </w:tabs>
      <w:spacing w:before="120" w:after="120"/>
    </w:pPr>
    <w:rPr>
      <w:lang w:eastAsia="en-AU"/>
    </w:rPr>
  </w:style>
  <w:style w:type="character" w:customStyle="1" w:styleId="ParaChar">
    <w:name w:val="Para Char"/>
    <w:link w:val="Para"/>
    <w:locked/>
    <w:rsid w:val="00511E99"/>
    <w:rPr>
      <w:sz w:val="24"/>
      <w:szCs w:val="24"/>
    </w:rPr>
  </w:style>
  <w:style w:type="paragraph" w:styleId="Revision">
    <w:name w:val="Revision"/>
    <w:hidden/>
    <w:uiPriority w:val="99"/>
    <w:semiHidden/>
    <w:rsid w:val="00073308"/>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paragraph" w:styleId="Heading7">
    <w:name w:val="heading 7"/>
    <w:basedOn w:val="Normal"/>
    <w:next w:val="Normal"/>
    <w:link w:val="Heading7Char"/>
    <w:qFormat/>
    <w:rsid w:val="004A4A4E"/>
    <w:pPr>
      <w:numPr>
        <w:ilvl w:val="6"/>
        <w:numId w:val="1"/>
      </w:numPr>
      <w:spacing w:before="240" w:after="60"/>
      <w:outlineLvl w:val="6"/>
    </w:pPr>
    <w:rPr>
      <w:rFonts w:eastAsiaTheme="minorEastAsia"/>
      <w:lang w:eastAsia="en-AU"/>
    </w:rPr>
  </w:style>
  <w:style w:type="paragraph" w:styleId="Heading8">
    <w:name w:val="heading 8"/>
    <w:basedOn w:val="Normal"/>
    <w:next w:val="Normal"/>
    <w:link w:val="Heading8Char"/>
    <w:qFormat/>
    <w:rsid w:val="004A4A4E"/>
    <w:pPr>
      <w:numPr>
        <w:ilvl w:val="7"/>
        <w:numId w:val="1"/>
      </w:numPr>
      <w:spacing w:before="240" w:after="60"/>
      <w:outlineLvl w:val="7"/>
    </w:pPr>
    <w:rPr>
      <w:rFonts w:eastAsiaTheme="minorEastAsia"/>
      <w:i/>
      <w:iCs/>
      <w:lang w:eastAsia="en-AU"/>
    </w:rPr>
  </w:style>
  <w:style w:type="paragraph" w:styleId="Heading9">
    <w:name w:val="heading 9"/>
    <w:basedOn w:val="Normal"/>
    <w:next w:val="Normal"/>
    <w:link w:val="Heading9Char"/>
    <w:qFormat/>
    <w:rsid w:val="004A4A4E"/>
    <w:pPr>
      <w:numPr>
        <w:ilvl w:val="8"/>
        <w:numId w:val="1"/>
      </w:numPr>
      <w:spacing w:before="240" w:after="60"/>
      <w:outlineLvl w:val="8"/>
    </w:pPr>
    <w:rPr>
      <w:rFonts w:ascii="Arial" w:eastAsiaTheme="minorEastAsia"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845BB"/>
    <w:rPr>
      <w:vertAlign w:val="superscript"/>
    </w:r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qFormat/>
    <w:rsid w:val="00F845BB"/>
    <w:pPr>
      <w:tabs>
        <w:tab w:val="center" w:pos="4513"/>
        <w:tab w:val="right" w:pos="9026"/>
      </w:tabs>
    </w:pPr>
  </w:style>
  <w:style w:type="character" w:customStyle="1" w:styleId="HeaderChar">
    <w:name w:val="Header Char"/>
    <w:aliases w:val="Caption Char Char1,Header Char Char Char1,Caption Char Char Char Char1,Header Char Char Char Char Char1,Caption Char Char Char Char Char Char1,Header Char Char Char Char Char Char Char1,Caption Char Char Char Char Char Char Char Char1"/>
    <w:basedOn w:val="DefaultParagraphFont"/>
    <w:link w:val="Header"/>
    <w:uiPriority w:val="99"/>
    <w:rsid w:val="00F845BB"/>
    <w:rPr>
      <w:sz w:val="24"/>
      <w:szCs w:val="24"/>
      <w:lang w:eastAsia="en-US"/>
    </w:rPr>
  </w:style>
  <w:style w:type="paragraph" w:styleId="Footer">
    <w:name w:val="footer"/>
    <w:basedOn w:val="Normal"/>
    <w:link w:val="FooterChar"/>
    <w:uiPriority w:val="99"/>
    <w:rsid w:val="00F845BB"/>
    <w:pPr>
      <w:tabs>
        <w:tab w:val="center" w:pos="4513"/>
        <w:tab w:val="right" w:pos="9026"/>
      </w:tabs>
    </w:pPr>
  </w:style>
  <w:style w:type="character" w:customStyle="1" w:styleId="FooterChar">
    <w:name w:val="Footer Char"/>
    <w:basedOn w:val="DefaultParagraphFont"/>
    <w:link w:val="Footer"/>
    <w:uiPriority w:val="99"/>
    <w:rsid w:val="00F845BB"/>
    <w:rPr>
      <w:sz w:val="24"/>
      <w:szCs w:val="24"/>
      <w:lang w:eastAsia="en-US"/>
    </w:rPr>
  </w:style>
  <w:style w:type="paragraph" w:styleId="BalloonText">
    <w:name w:val="Balloon Text"/>
    <w:basedOn w:val="Normal"/>
    <w:link w:val="BalloonTextChar"/>
    <w:rsid w:val="00F845BB"/>
    <w:rPr>
      <w:rFonts w:ascii="Tahoma" w:hAnsi="Tahoma" w:cs="Tahoma"/>
      <w:sz w:val="16"/>
      <w:szCs w:val="16"/>
    </w:rPr>
  </w:style>
  <w:style w:type="character" w:customStyle="1" w:styleId="BalloonTextChar">
    <w:name w:val="Balloon Text Char"/>
    <w:basedOn w:val="DefaultParagraphFont"/>
    <w:link w:val="BalloonText"/>
    <w:rsid w:val="00F845BB"/>
    <w:rPr>
      <w:rFonts w:ascii="Tahoma" w:hAnsi="Tahoma" w:cs="Tahoma"/>
      <w:sz w:val="16"/>
      <w:szCs w:val="16"/>
      <w:lang w:eastAsia="en-US"/>
    </w:rPr>
  </w:style>
  <w:style w:type="character" w:styleId="Hyperlink">
    <w:name w:val="Hyperlink"/>
    <w:basedOn w:val="DefaultParagraphFont"/>
    <w:rsid w:val="00F845BB"/>
    <w:rPr>
      <w:color w:val="0000FF" w:themeColor="hyperlink"/>
      <w:u w:val="single"/>
    </w:rPr>
  </w:style>
  <w:style w:type="character" w:styleId="CommentReference">
    <w:name w:val="annotation reference"/>
    <w:basedOn w:val="DefaultParagraphFont"/>
    <w:rsid w:val="00F71F79"/>
    <w:rPr>
      <w:sz w:val="16"/>
      <w:szCs w:val="16"/>
    </w:rPr>
  </w:style>
  <w:style w:type="paragraph" w:styleId="CommentText">
    <w:name w:val="annotation text"/>
    <w:basedOn w:val="Normal"/>
    <w:link w:val="CommentTextChar"/>
    <w:rsid w:val="00F71F79"/>
    <w:rPr>
      <w:sz w:val="20"/>
      <w:szCs w:val="20"/>
    </w:rPr>
  </w:style>
  <w:style w:type="character" w:customStyle="1" w:styleId="CommentTextChar">
    <w:name w:val="Comment Text Char"/>
    <w:basedOn w:val="DefaultParagraphFont"/>
    <w:link w:val="CommentText"/>
    <w:rsid w:val="00F71F79"/>
    <w:rPr>
      <w:lang w:eastAsia="en-US"/>
    </w:rPr>
  </w:style>
  <w:style w:type="paragraph" w:styleId="CommentSubject">
    <w:name w:val="annotation subject"/>
    <w:basedOn w:val="CommentText"/>
    <w:next w:val="CommentText"/>
    <w:link w:val="CommentSubjectChar"/>
    <w:rsid w:val="00F71F79"/>
    <w:rPr>
      <w:b/>
      <w:bCs/>
    </w:rPr>
  </w:style>
  <w:style w:type="character" w:customStyle="1" w:styleId="CommentSubjectChar">
    <w:name w:val="Comment Subject Char"/>
    <w:basedOn w:val="CommentTextChar"/>
    <w:link w:val="CommentSubject"/>
    <w:rsid w:val="00F71F79"/>
    <w:rPr>
      <w:b/>
      <w:bCs/>
      <w:lang w:eastAsia="en-US"/>
    </w:rPr>
  </w:style>
  <w:style w:type="character" w:customStyle="1" w:styleId="Heading7Char">
    <w:name w:val="Heading 7 Char"/>
    <w:basedOn w:val="DefaultParagraphFont"/>
    <w:link w:val="Heading7"/>
    <w:rsid w:val="004A4A4E"/>
    <w:rPr>
      <w:rFonts w:eastAsiaTheme="minorEastAsia"/>
      <w:sz w:val="24"/>
      <w:szCs w:val="24"/>
    </w:rPr>
  </w:style>
  <w:style w:type="character" w:customStyle="1" w:styleId="Heading8Char">
    <w:name w:val="Heading 8 Char"/>
    <w:basedOn w:val="DefaultParagraphFont"/>
    <w:link w:val="Heading8"/>
    <w:rsid w:val="004A4A4E"/>
    <w:rPr>
      <w:rFonts w:eastAsiaTheme="minorEastAsia"/>
      <w:i/>
      <w:iCs/>
      <w:sz w:val="24"/>
      <w:szCs w:val="24"/>
    </w:rPr>
  </w:style>
  <w:style w:type="character" w:customStyle="1" w:styleId="Heading9Char">
    <w:name w:val="Heading 9 Char"/>
    <w:basedOn w:val="DefaultParagraphFont"/>
    <w:link w:val="Heading9"/>
    <w:rsid w:val="004A4A4E"/>
    <w:rPr>
      <w:rFonts w:ascii="Arial" w:eastAsiaTheme="minorEastAsia" w:hAnsi="Arial" w:cs="Arial"/>
      <w:sz w:val="22"/>
      <w:szCs w:val="22"/>
    </w:rPr>
  </w:style>
  <w:style w:type="character" w:customStyle="1" w:styleId="Heading1Char">
    <w:name w:val="Heading 1 Char"/>
    <w:basedOn w:val="DefaultParagraphFont"/>
    <w:link w:val="Heading1"/>
    <w:rsid w:val="004A4A4E"/>
    <w:rPr>
      <w:rFonts w:cs="Arial"/>
      <w:b/>
      <w:bCs/>
      <w:kern w:val="32"/>
      <w:sz w:val="32"/>
      <w:szCs w:val="32"/>
      <w:lang w:eastAsia="en-US"/>
    </w:rPr>
  </w:style>
  <w:style w:type="paragraph" w:customStyle="1" w:styleId="1RARMP">
    <w:name w:val="1 RARMP"/>
    <w:basedOn w:val="Normal"/>
    <w:qFormat/>
    <w:rsid w:val="004A4A4E"/>
    <w:pPr>
      <w:numPr>
        <w:numId w:val="1"/>
      </w:numPr>
      <w:tabs>
        <w:tab w:val="clear" w:pos="3545"/>
        <w:tab w:val="num" w:pos="284"/>
      </w:tabs>
      <w:spacing w:before="120" w:after="120"/>
      <w:ind w:left="0"/>
      <w:outlineLvl w:val="0"/>
    </w:pPr>
    <w:rPr>
      <w:rFonts w:ascii="Arial" w:eastAsiaTheme="minorEastAsia" w:hAnsi="Arial" w:cs="Arial"/>
      <w:b/>
      <w:bCs/>
      <w:color w:val="000000"/>
      <w:sz w:val="36"/>
      <w:szCs w:val="36"/>
      <w:lang w:eastAsia="en-AU"/>
    </w:rPr>
  </w:style>
  <w:style w:type="paragraph" w:customStyle="1" w:styleId="2RARMP">
    <w:name w:val="2 RARMP"/>
    <w:basedOn w:val="Normal"/>
    <w:qFormat/>
    <w:rsid w:val="004A4A4E"/>
    <w:pPr>
      <w:keepNext/>
      <w:numPr>
        <w:ilvl w:val="1"/>
        <w:numId w:val="1"/>
      </w:numPr>
      <w:tabs>
        <w:tab w:val="clear" w:pos="1957"/>
        <w:tab w:val="left" w:pos="1440"/>
        <w:tab w:val="num" w:pos="1712"/>
      </w:tabs>
      <w:spacing w:before="240" w:after="120"/>
      <w:ind w:left="1712" w:hanging="1712"/>
      <w:outlineLvl w:val="1"/>
    </w:pPr>
    <w:rPr>
      <w:rFonts w:ascii="Arial" w:eastAsiaTheme="minorEastAsia" w:hAnsi="Arial" w:cs="Arial"/>
      <w:b/>
      <w:bCs/>
      <w:i/>
      <w:iCs/>
      <w:sz w:val="28"/>
      <w:szCs w:val="28"/>
      <w:lang w:eastAsia="en-AU"/>
    </w:rPr>
  </w:style>
  <w:style w:type="paragraph" w:customStyle="1" w:styleId="3RARMP">
    <w:name w:val="3 RARMP"/>
    <w:basedOn w:val="Normal"/>
    <w:qFormat/>
    <w:rsid w:val="004A4A4E"/>
    <w:pPr>
      <w:keepNext/>
      <w:numPr>
        <w:ilvl w:val="2"/>
        <w:numId w:val="1"/>
      </w:numPr>
      <w:spacing w:before="120" w:after="120"/>
      <w:outlineLvl w:val="2"/>
    </w:pPr>
    <w:rPr>
      <w:rFonts w:ascii="Arial" w:eastAsiaTheme="minorEastAsia" w:hAnsi="Arial" w:cs="Arial"/>
      <w:b/>
      <w:bCs/>
      <w:lang w:eastAsia="en-AU"/>
    </w:rPr>
  </w:style>
  <w:style w:type="paragraph" w:customStyle="1" w:styleId="4RARMP">
    <w:name w:val="4 RARMP"/>
    <w:basedOn w:val="Normal"/>
    <w:qFormat/>
    <w:rsid w:val="004A4A4E"/>
    <w:pPr>
      <w:keepNext/>
      <w:keepLines/>
      <w:numPr>
        <w:ilvl w:val="3"/>
        <w:numId w:val="1"/>
      </w:numPr>
      <w:spacing w:before="120" w:after="120"/>
      <w:outlineLvl w:val="3"/>
    </w:pPr>
    <w:rPr>
      <w:rFonts w:ascii="Arial" w:eastAsiaTheme="minorEastAsia" w:hAnsi="Arial" w:cs="Arial"/>
      <w:b/>
      <w:bCs/>
      <w:i/>
      <w:iCs/>
      <w:sz w:val="22"/>
      <w:szCs w:val="22"/>
      <w:lang w:eastAsia="en-AU"/>
    </w:rPr>
  </w:style>
  <w:style w:type="paragraph" w:customStyle="1" w:styleId="Paranonumbers">
    <w:name w:val="Para no numbers"/>
    <w:basedOn w:val="Normal"/>
    <w:link w:val="ParanonumbersChar"/>
    <w:qFormat/>
    <w:rsid w:val="004A4A4E"/>
    <w:pPr>
      <w:spacing w:before="120" w:after="120"/>
    </w:pPr>
    <w:rPr>
      <w:rFonts w:eastAsiaTheme="minorEastAsia"/>
      <w:lang w:eastAsia="en-AU"/>
    </w:rPr>
  </w:style>
  <w:style w:type="character" w:customStyle="1" w:styleId="ParanonumbersChar">
    <w:name w:val="Para no numbers Char"/>
    <w:link w:val="Paranonumbers"/>
    <w:locked/>
    <w:rsid w:val="004A4A4E"/>
    <w:rPr>
      <w:rFonts w:eastAsiaTheme="minorEastAsia"/>
      <w:sz w:val="24"/>
      <w:szCs w:val="24"/>
    </w:rPr>
  </w:style>
  <w:style w:type="paragraph" w:styleId="Caption">
    <w:name w:val="caption"/>
    <w:aliases w:val="Caption Char Char,Header Char Char Char,Caption Char Char Char Char,Header Char Char Char Char Char,Caption Char Char Char Char Char Char,Header Char Char Char Char Char Char Char,Caption Char Char Char Char Char Char Char Char"/>
    <w:basedOn w:val="Normal"/>
    <w:next w:val="Normal"/>
    <w:qFormat/>
    <w:rsid w:val="000D16B5"/>
    <w:rPr>
      <w:b/>
      <w:bCs/>
      <w:sz w:val="20"/>
      <w:szCs w:val="20"/>
      <w:lang w:eastAsia="en-AU"/>
    </w:rPr>
  </w:style>
  <w:style w:type="paragraph" w:styleId="ListParagraph">
    <w:name w:val="List Paragraph"/>
    <w:basedOn w:val="Normal"/>
    <w:uiPriority w:val="34"/>
    <w:qFormat/>
    <w:rsid w:val="00511E99"/>
    <w:pPr>
      <w:ind w:left="720"/>
      <w:contextualSpacing/>
    </w:pPr>
    <w:rPr>
      <w:rFonts w:eastAsiaTheme="minorEastAsia"/>
      <w:lang w:eastAsia="en-AU"/>
    </w:rPr>
  </w:style>
  <w:style w:type="paragraph" w:customStyle="1" w:styleId="Para">
    <w:name w:val="Para"/>
    <w:basedOn w:val="Normal"/>
    <w:link w:val="ParaChar"/>
    <w:rsid w:val="00511E99"/>
    <w:pPr>
      <w:numPr>
        <w:numId w:val="2"/>
      </w:numPr>
      <w:tabs>
        <w:tab w:val="left" w:pos="567"/>
      </w:tabs>
      <w:spacing w:before="120" w:after="120"/>
    </w:pPr>
    <w:rPr>
      <w:lang w:eastAsia="en-AU"/>
    </w:rPr>
  </w:style>
  <w:style w:type="character" w:customStyle="1" w:styleId="ParaChar">
    <w:name w:val="Para Char"/>
    <w:link w:val="Para"/>
    <w:locked/>
    <w:rsid w:val="00511E99"/>
    <w:rPr>
      <w:sz w:val="24"/>
      <w:szCs w:val="24"/>
    </w:rPr>
  </w:style>
  <w:style w:type="paragraph" w:styleId="Revision">
    <w:name w:val="Revision"/>
    <w:hidden/>
    <w:uiPriority w:val="99"/>
    <w:semiHidden/>
    <w:rsid w:val="0007330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ogtr@health.gov.au" TargetMode="External"/><Relationship Id="rId1" Type="http://schemas.openxmlformats.org/officeDocument/2006/relationships/hyperlink" Target="http://www.ogtr.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1272</Words>
  <Characters>7186</Characters>
  <Application>Microsoft Office Word</Application>
  <DocSecurity>4</DocSecurity>
  <Lines>114</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Risk Assessment and Risk Management Plan</dc:title>
  <dc:creator/>
  <cp:keywords>dir 132, summary, RARMP</cp:keywords>
  <cp:lastModifiedBy/>
  <cp:revision>1</cp:revision>
  <dcterms:created xsi:type="dcterms:W3CDTF">2015-08-11T01:54:00Z</dcterms:created>
  <dcterms:modified xsi:type="dcterms:W3CDTF">2015-08-11T01:54:00Z</dcterms:modified>
</cp:coreProperties>
</file>