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51" w:rsidRDefault="008D6B51" w:rsidP="008D6B51">
      <w:pPr>
        <w:rPr>
          <w:sz w:val="36"/>
          <w:lang w:eastAsia="en-US"/>
        </w:rPr>
      </w:pPr>
      <w:bookmarkStart w:id="0" w:name="_Toc355007993"/>
      <w:bookmarkStart w:id="1" w:name="_Toc474484240"/>
      <w:bookmarkStart w:id="2" w:name="_Toc53666196"/>
      <w:bookmarkStart w:id="3" w:name="_Toc62034332"/>
      <w:bookmarkStart w:id="4" w:name="_Toc209859545"/>
      <w:bookmarkStart w:id="5" w:name="_Toc236620543"/>
      <w:bookmarkStart w:id="6" w:name="_Toc259790166"/>
      <w:bookmarkStart w:id="7" w:name="_Toc198434571"/>
      <w:bookmarkStart w:id="8" w:name="_Toc167164262"/>
      <w:bookmarkStart w:id="9" w:name="_Toc174765844"/>
      <w:bookmarkStart w:id="10" w:name="_Toc377743543"/>
      <w:bookmarkStart w:id="11" w:name="_GoBack"/>
      <w:bookmarkEnd w:id="11"/>
      <w:r w:rsidRPr="00527DBC">
        <w:rPr>
          <w:noProof/>
        </w:rPr>
        <w:drawing>
          <wp:inline distT="0" distB="0" distL="0" distR="0" wp14:anchorId="1ADD7D1C" wp14:editId="3E154F53">
            <wp:extent cx="3335020" cy="951230"/>
            <wp:effectExtent l="0" t="0" r="0" b="1270"/>
            <wp:docPr id="27" name="Picture 27"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rsidR="008D6B51" w:rsidRPr="008D6B51" w:rsidRDefault="008D6B51" w:rsidP="008D6B51">
      <w:pPr>
        <w:pStyle w:val="Heading1"/>
        <w:jc w:val="center"/>
        <w:rPr>
          <w:rFonts w:eastAsia="SimSun"/>
          <w:i w:val="0"/>
          <w:lang w:eastAsia="en-US"/>
        </w:rPr>
      </w:pPr>
    </w:p>
    <w:p w:rsidR="008D6B51" w:rsidRDefault="008D6B51" w:rsidP="008D6B51">
      <w:pPr>
        <w:jc w:val="right"/>
        <w:rPr>
          <w:lang w:eastAsia="en-US"/>
        </w:rPr>
      </w:pPr>
      <w:r>
        <w:rPr>
          <w:lang w:eastAsia="en-US"/>
        </w:rPr>
        <w:t>February 2021</w:t>
      </w:r>
    </w:p>
    <w:p w:rsidR="008D6B51" w:rsidRPr="00961290" w:rsidRDefault="008D6B51" w:rsidP="008D6B51">
      <w:pPr>
        <w:pStyle w:val="Heading1"/>
        <w:keepNext w:val="0"/>
        <w:spacing w:after="0"/>
        <w:jc w:val="center"/>
        <w:rPr>
          <w:rFonts w:eastAsia="SimSun"/>
          <w:i w:val="0"/>
          <w:sz w:val="36"/>
          <w:szCs w:val="36"/>
        </w:rPr>
      </w:pPr>
      <w:r w:rsidRPr="00961290">
        <w:rPr>
          <w:rFonts w:eastAsia="SimSun"/>
          <w:i w:val="0"/>
          <w:sz w:val="36"/>
          <w:lang w:eastAsia="en-US"/>
        </w:rPr>
        <w:t>Summary of the Risk Assessment and Risk Management Plan</w:t>
      </w:r>
      <w:bookmarkStart w:id="12" w:name="_Toc475693826"/>
      <w:bookmarkStart w:id="13" w:name="_Toc475694208"/>
      <w:bookmarkStart w:id="14" w:name="_Toc475694681"/>
      <w:bookmarkEnd w:id="0"/>
      <w:bookmarkEnd w:id="1"/>
      <w:bookmarkEnd w:id="2"/>
      <w:bookmarkEnd w:id="3"/>
    </w:p>
    <w:p w:rsidR="008D6B51" w:rsidRPr="00961290" w:rsidRDefault="008D6B51" w:rsidP="008D6B51">
      <w:pPr>
        <w:jc w:val="center"/>
        <w:rPr>
          <w:rFonts w:eastAsia="SimSun"/>
          <w:sz w:val="18"/>
        </w:rPr>
      </w:pPr>
      <w:r w:rsidRPr="00961290">
        <w:rPr>
          <w:b/>
          <w:sz w:val="28"/>
          <w:szCs w:val="36"/>
          <w:lang w:eastAsia="en-US"/>
        </w:rPr>
        <w:t>for</w:t>
      </w:r>
      <w:bookmarkEnd w:id="12"/>
      <w:bookmarkEnd w:id="13"/>
      <w:bookmarkEnd w:id="14"/>
    </w:p>
    <w:p w:rsidR="008D6B51" w:rsidRDefault="008D6B51" w:rsidP="008D6B51">
      <w:pPr>
        <w:jc w:val="center"/>
        <w:rPr>
          <w:b/>
          <w:sz w:val="36"/>
          <w:szCs w:val="36"/>
          <w:lang w:eastAsia="en-US"/>
        </w:rPr>
      </w:pPr>
      <w:r w:rsidRPr="00961290">
        <w:rPr>
          <w:b/>
          <w:sz w:val="36"/>
          <w:szCs w:val="36"/>
          <w:lang w:eastAsia="en-US"/>
        </w:rPr>
        <w:t>Licence Application No. DIR 17</w:t>
      </w:r>
      <w:r>
        <w:rPr>
          <w:b/>
          <w:sz w:val="36"/>
          <w:szCs w:val="36"/>
          <w:lang w:eastAsia="en-US"/>
        </w:rPr>
        <w:t>7</w:t>
      </w:r>
    </w:p>
    <w:p w:rsidR="008D6B51" w:rsidRPr="00EE4840" w:rsidRDefault="008D6B51" w:rsidP="008D6B51">
      <w:pPr>
        <w:pStyle w:val="Heading2"/>
        <w:rPr>
          <w:rFonts w:asciiTheme="minorHAnsi" w:hAnsiTheme="minorHAnsi"/>
        </w:rPr>
      </w:pPr>
      <w:bookmarkStart w:id="15" w:name="_Toc62034333"/>
      <w:r w:rsidRPr="00EE4840">
        <w:rPr>
          <w:rFonts w:asciiTheme="minorHAnsi" w:hAnsiTheme="minorHAnsi"/>
        </w:rPr>
        <w:t>Decision</w:t>
      </w:r>
      <w:bookmarkEnd w:id="15"/>
    </w:p>
    <w:p w:rsidR="008D6B51" w:rsidRDefault="008D6B51" w:rsidP="008D6B51">
      <w:pPr>
        <w:rPr>
          <w:rFonts w:eastAsia="Times New Roman" w:cs="Times New Roman"/>
        </w:rPr>
      </w:pPr>
      <w:bookmarkStart w:id="16" w:name="_Toc427320058"/>
      <w:bookmarkEnd w:id="4"/>
      <w:bookmarkEnd w:id="5"/>
      <w:bookmarkEnd w:id="6"/>
      <w:bookmarkEnd w:id="7"/>
      <w:bookmarkEnd w:id="8"/>
      <w:bookmarkEnd w:id="9"/>
      <w:bookmarkEnd w:id="10"/>
      <w:r w:rsidRPr="00961290">
        <w:rPr>
          <w:rFonts w:asciiTheme="minorHAnsi" w:hAnsiTheme="minorHAnsi"/>
          <w:szCs w:val="22"/>
        </w:rPr>
        <w:t xml:space="preserve">The Gene Technology Regulator (the Regulator) has received a licence application </w:t>
      </w:r>
      <w:r>
        <w:rPr>
          <w:rFonts w:asciiTheme="minorHAnsi" w:hAnsiTheme="minorHAnsi"/>
          <w:szCs w:val="22"/>
        </w:rPr>
        <w:t>to conduct a clinical trial using a genetically modified organism (GMO).</w:t>
      </w:r>
      <w:r w:rsidRPr="00961290">
        <w:rPr>
          <w:rFonts w:asciiTheme="minorHAnsi" w:hAnsiTheme="minorHAnsi"/>
          <w:szCs w:val="22"/>
        </w:rPr>
        <w:t xml:space="preserve"> It qualifies as a </w:t>
      </w:r>
      <w:r>
        <w:rPr>
          <w:rFonts w:asciiTheme="minorHAnsi" w:hAnsiTheme="minorHAnsi"/>
          <w:szCs w:val="22"/>
        </w:rPr>
        <w:t>DIR licence</w:t>
      </w:r>
      <w:r w:rsidRPr="00961290">
        <w:rPr>
          <w:rFonts w:asciiTheme="minorHAnsi" w:hAnsiTheme="minorHAnsi"/>
          <w:szCs w:val="22"/>
        </w:rPr>
        <w:t xml:space="preserve"> application under the </w:t>
      </w:r>
      <w:r w:rsidRPr="00961290">
        <w:rPr>
          <w:rFonts w:asciiTheme="minorHAnsi" w:hAnsiTheme="minorHAnsi"/>
          <w:i/>
          <w:szCs w:val="22"/>
        </w:rPr>
        <w:t>Gene Technology Act 2000</w:t>
      </w:r>
      <w:r w:rsidRPr="00961290">
        <w:rPr>
          <w:rFonts w:asciiTheme="minorHAnsi" w:hAnsiTheme="minorHAnsi"/>
          <w:szCs w:val="22"/>
        </w:rPr>
        <w:t xml:space="preserve"> (the Act). </w:t>
      </w:r>
      <w:r>
        <w:rPr>
          <w:rFonts w:asciiTheme="minorHAnsi" w:hAnsiTheme="minorHAnsi"/>
          <w:szCs w:val="22"/>
        </w:rPr>
        <w:t xml:space="preserve">The applicant, </w:t>
      </w:r>
      <w:r w:rsidRPr="000D658D">
        <w:rPr>
          <w:rFonts w:asciiTheme="minorHAnsi" w:hAnsiTheme="minorHAnsi"/>
          <w:szCs w:val="22"/>
        </w:rPr>
        <w:t>Novotech (Australia) Pty Limited</w:t>
      </w:r>
      <w:r>
        <w:rPr>
          <w:rFonts w:asciiTheme="minorHAnsi" w:hAnsiTheme="minorHAnsi"/>
          <w:szCs w:val="22"/>
        </w:rPr>
        <w:t>,</w:t>
      </w:r>
      <w:r w:rsidRPr="000D658D">
        <w:rPr>
          <w:rFonts w:asciiTheme="minorHAnsi" w:hAnsiTheme="minorHAnsi"/>
          <w:szCs w:val="22"/>
        </w:rPr>
        <w:t xml:space="preserve"> </w:t>
      </w:r>
      <w:r w:rsidRPr="00961290">
        <w:rPr>
          <w:rFonts w:eastAsia="Times New Roman" w:cs="Times New Roman"/>
        </w:rPr>
        <w:t xml:space="preserve">proposes to conduct a </w:t>
      </w:r>
      <w:r>
        <w:rPr>
          <w:rFonts w:eastAsia="Times New Roman" w:cs="Times New Roman"/>
        </w:rPr>
        <w:t>clinical</w:t>
      </w:r>
      <w:r w:rsidRPr="00961290">
        <w:rPr>
          <w:rFonts w:eastAsia="Times New Roman" w:cs="Times New Roman"/>
        </w:rPr>
        <w:t xml:space="preserve"> trial to assess the efficacy </w:t>
      </w:r>
      <w:r w:rsidRPr="000D658D">
        <w:rPr>
          <w:rFonts w:eastAsia="Times New Roman" w:cs="Times New Roman"/>
        </w:rPr>
        <w:t xml:space="preserve">of the genetically modified </w:t>
      </w:r>
      <w:r>
        <w:rPr>
          <w:rFonts w:eastAsia="Times New Roman" w:cs="Times New Roman"/>
        </w:rPr>
        <w:t xml:space="preserve">(GM) </w:t>
      </w:r>
      <w:r w:rsidRPr="000D658D">
        <w:rPr>
          <w:rFonts w:eastAsia="Times New Roman" w:cs="Times New Roman"/>
        </w:rPr>
        <w:t xml:space="preserve">human adenovirus for bladder cancer treatment in </w:t>
      </w:r>
      <w:r>
        <w:rPr>
          <w:rFonts w:eastAsia="Times New Roman" w:cs="Times New Roman"/>
        </w:rPr>
        <w:t>participant</w:t>
      </w:r>
      <w:r w:rsidRPr="000D658D">
        <w:rPr>
          <w:rFonts w:eastAsia="Times New Roman" w:cs="Times New Roman"/>
        </w:rPr>
        <w:t xml:space="preserve">s </w:t>
      </w:r>
      <w:r>
        <w:rPr>
          <w:rFonts w:eastAsia="Times New Roman" w:cs="Times New Roman"/>
        </w:rPr>
        <w:t>whose</w:t>
      </w:r>
      <w:r w:rsidRPr="000D658D">
        <w:rPr>
          <w:rFonts w:eastAsia="Times New Roman" w:cs="Times New Roman"/>
        </w:rPr>
        <w:t xml:space="preserve"> tumours are unresponsive to standard treatment. </w:t>
      </w:r>
    </w:p>
    <w:p w:rsidR="008D6B51" w:rsidRDefault="008D6B51" w:rsidP="008D6B51">
      <w:pPr>
        <w:pStyle w:val="Arrow"/>
        <w:numPr>
          <w:ilvl w:val="0"/>
          <w:numId w:val="0"/>
        </w:numPr>
        <w:spacing w:before="120" w:after="120"/>
        <w:rPr>
          <w:rFonts w:asciiTheme="minorHAnsi" w:hAnsiTheme="minorHAnsi"/>
          <w:sz w:val="22"/>
          <w:szCs w:val="22"/>
        </w:rPr>
      </w:pPr>
      <w:r>
        <w:rPr>
          <w:rFonts w:asciiTheme="minorHAnsi" w:hAnsiTheme="minorHAnsi"/>
          <w:sz w:val="22"/>
          <w:szCs w:val="22"/>
        </w:rPr>
        <w:t>T</w:t>
      </w:r>
      <w:r w:rsidRPr="00AA4C0F">
        <w:rPr>
          <w:rFonts w:asciiTheme="minorHAnsi" w:hAnsiTheme="minorHAnsi"/>
          <w:sz w:val="22"/>
          <w:szCs w:val="22"/>
        </w:rPr>
        <w:t>ransitional cell carcinoma (TCC) is the most common type of bladder can</w:t>
      </w:r>
      <w:r>
        <w:rPr>
          <w:rFonts w:asciiTheme="minorHAnsi" w:hAnsiTheme="minorHAnsi"/>
          <w:sz w:val="22"/>
          <w:szCs w:val="22"/>
        </w:rPr>
        <w:t xml:space="preserve">cer. Each year almost 2,700 new </w:t>
      </w:r>
      <w:r w:rsidRPr="00AA4C0F">
        <w:rPr>
          <w:rFonts w:asciiTheme="minorHAnsi" w:hAnsiTheme="minorHAnsi"/>
          <w:sz w:val="22"/>
          <w:szCs w:val="22"/>
        </w:rPr>
        <w:t>cases and approximately 1100 deaths of TCC are recorded in Australia</w:t>
      </w:r>
      <w:r>
        <w:rPr>
          <w:rFonts w:asciiTheme="minorHAnsi" w:hAnsiTheme="minorHAnsi"/>
          <w:sz w:val="22"/>
          <w:szCs w:val="22"/>
        </w:rPr>
        <w:t>.</w:t>
      </w:r>
      <w:r w:rsidRPr="00AA4C0F">
        <w:rPr>
          <w:rFonts w:asciiTheme="minorHAnsi" w:hAnsiTheme="minorHAnsi"/>
          <w:sz w:val="22"/>
          <w:szCs w:val="22"/>
        </w:rPr>
        <w:t xml:space="preserve"> Current treatment includes </w:t>
      </w:r>
      <w:r>
        <w:rPr>
          <w:rFonts w:asciiTheme="minorHAnsi" w:hAnsiTheme="minorHAnsi"/>
          <w:sz w:val="22"/>
          <w:szCs w:val="22"/>
        </w:rPr>
        <w:t xml:space="preserve">surgery to remove the </w:t>
      </w:r>
      <w:r w:rsidRPr="00AA4C0F">
        <w:rPr>
          <w:rFonts w:asciiTheme="minorHAnsi" w:hAnsiTheme="minorHAnsi"/>
          <w:sz w:val="22"/>
          <w:szCs w:val="22"/>
        </w:rPr>
        <w:t xml:space="preserve">bladder tumour, chemotherapy or immunotherapy. The combination </w:t>
      </w:r>
      <w:r>
        <w:rPr>
          <w:rFonts w:asciiTheme="minorHAnsi" w:hAnsiTheme="minorHAnsi"/>
          <w:sz w:val="22"/>
          <w:szCs w:val="22"/>
        </w:rPr>
        <w:t>of treatments</w:t>
      </w:r>
      <w:r w:rsidRPr="00AA4C0F">
        <w:rPr>
          <w:rFonts w:asciiTheme="minorHAnsi" w:hAnsiTheme="minorHAnsi"/>
          <w:sz w:val="22"/>
          <w:szCs w:val="22"/>
        </w:rPr>
        <w:t xml:space="preserve"> give </w:t>
      </w:r>
      <w:r>
        <w:rPr>
          <w:rFonts w:asciiTheme="minorHAnsi" w:hAnsiTheme="minorHAnsi"/>
          <w:sz w:val="22"/>
          <w:szCs w:val="22"/>
        </w:rPr>
        <w:t xml:space="preserve">the </w:t>
      </w:r>
      <w:r w:rsidRPr="00AA4C0F">
        <w:rPr>
          <w:rFonts w:asciiTheme="minorHAnsi" w:hAnsiTheme="minorHAnsi"/>
          <w:sz w:val="22"/>
          <w:szCs w:val="22"/>
        </w:rPr>
        <w:t xml:space="preserve">best results but </w:t>
      </w:r>
      <w:r>
        <w:rPr>
          <w:rFonts w:asciiTheme="minorHAnsi" w:hAnsiTheme="minorHAnsi"/>
          <w:sz w:val="22"/>
          <w:szCs w:val="22"/>
        </w:rPr>
        <w:t xml:space="preserve">cancer </w:t>
      </w:r>
      <w:r w:rsidRPr="00AA4C0F">
        <w:rPr>
          <w:rFonts w:asciiTheme="minorHAnsi" w:hAnsiTheme="minorHAnsi"/>
          <w:sz w:val="22"/>
          <w:szCs w:val="22"/>
        </w:rPr>
        <w:t xml:space="preserve">reoccurrence rates are still high. </w:t>
      </w:r>
    </w:p>
    <w:p w:rsidR="008D6B51" w:rsidRPr="00903E71" w:rsidRDefault="008D6B51" w:rsidP="008D6B51">
      <w:pPr>
        <w:pStyle w:val="Arrow"/>
        <w:numPr>
          <w:ilvl w:val="0"/>
          <w:numId w:val="0"/>
        </w:numPr>
        <w:spacing w:before="120" w:after="120"/>
        <w:rPr>
          <w:rFonts w:asciiTheme="minorHAnsi" w:hAnsiTheme="minorHAnsi"/>
          <w:sz w:val="22"/>
          <w:szCs w:val="22"/>
        </w:rPr>
      </w:pPr>
      <w:r w:rsidRPr="00AA4C0F">
        <w:rPr>
          <w:rFonts w:asciiTheme="minorHAnsi" w:hAnsiTheme="minorHAnsi"/>
          <w:sz w:val="22"/>
          <w:szCs w:val="22"/>
        </w:rPr>
        <w:t xml:space="preserve">The proposed </w:t>
      </w:r>
      <w:r>
        <w:rPr>
          <w:rFonts w:asciiTheme="minorHAnsi" w:hAnsiTheme="minorHAnsi"/>
          <w:sz w:val="22"/>
          <w:szCs w:val="22"/>
        </w:rPr>
        <w:t xml:space="preserve">GM </w:t>
      </w:r>
      <w:r w:rsidRPr="00AA4C0F">
        <w:rPr>
          <w:rFonts w:asciiTheme="minorHAnsi" w:hAnsiTheme="minorHAnsi"/>
          <w:sz w:val="22"/>
          <w:szCs w:val="22"/>
        </w:rPr>
        <w:t xml:space="preserve">adenovirus treatment is predicted to significantly increase survival rates and limit the reoccurrence in </w:t>
      </w:r>
      <w:r>
        <w:rPr>
          <w:rFonts w:asciiTheme="minorHAnsi" w:hAnsiTheme="minorHAnsi"/>
          <w:sz w:val="22"/>
          <w:szCs w:val="22"/>
        </w:rPr>
        <w:t>participant</w:t>
      </w:r>
      <w:r w:rsidRPr="00AA4C0F">
        <w:rPr>
          <w:rFonts w:asciiTheme="minorHAnsi" w:hAnsiTheme="minorHAnsi"/>
          <w:sz w:val="22"/>
          <w:szCs w:val="22"/>
        </w:rPr>
        <w:t xml:space="preserve">s that have been unresponsive to other treatments. The GM </w:t>
      </w:r>
      <w:r>
        <w:rPr>
          <w:rFonts w:asciiTheme="minorHAnsi" w:hAnsiTheme="minorHAnsi"/>
          <w:sz w:val="22"/>
          <w:szCs w:val="22"/>
        </w:rPr>
        <w:t xml:space="preserve">human </w:t>
      </w:r>
      <w:r w:rsidRPr="00AA4C0F">
        <w:rPr>
          <w:rFonts w:asciiTheme="minorHAnsi" w:hAnsiTheme="minorHAnsi"/>
          <w:sz w:val="22"/>
          <w:szCs w:val="22"/>
        </w:rPr>
        <w:t>adenovirus would be manufactured overseas and impor</w:t>
      </w:r>
      <w:r>
        <w:rPr>
          <w:rFonts w:asciiTheme="minorHAnsi" w:hAnsiTheme="minorHAnsi"/>
          <w:sz w:val="22"/>
          <w:szCs w:val="22"/>
        </w:rPr>
        <w:t xml:space="preserve">ted into Australia. It would </w:t>
      </w:r>
      <w:r w:rsidRPr="00AA4C0F">
        <w:rPr>
          <w:rFonts w:asciiTheme="minorHAnsi" w:hAnsiTheme="minorHAnsi"/>
          <w:sz w:val="22"/>
          <w:szCs w:val="22"/>
        </w:rPr>
        <w:t>be administered int</w:t>
      </w:r>
      <w:r>
        <w:rPr>
          <w:rFonts w:asciiTheme="minorHAnsi" w:hAnsiTheme="minorHAnsi"/>
          <w:sz w:val="22"/>
          <w:szCs w:val="22"/>
        </w:rPr>
        <w:t>o the bladder</w:t>
      </w:r>
      <w:r w:rsidRPr="00AA4C0F">
        <w:rPr>
          <w:rFonts w:asciiTheme="minorHAnsi" w:hAnsiTheme="minorHAnsi"/>
          <w:sz w:val="22"/>
          <w:szCs w:val="22"/>
        </w:rPr>
        <w:t xml:space="preserve"> to a maximum of 60 </w:t>
      </w:r>
      <w:r>
        <w:rPr>
          <w:rFonts w:asciiTheme="minorHAnsi" w:hAnsiTheme="minorHAnsi"/>
          <w:sz w:val="22"/>
          <w:szCs w:val="22"/>
        </w:rPr>
        <w:t>participant</w:t>
      </w:r>
      <w:r w:rsidRPr="00AA4C0F">
        <w:rPr>
          <w:rFonts w:asciiTheme="minorHAnsi" w:hAnsiTheme="minorHAnsi"/>
          <w:sz w:val="22"/>
          <w:szCs w:val="22"/>
        </w:rPr>
        <w:t>s at hospitals located in New South Wales (NSW) and Victoria (VIC).</w:t>
      </w:r>
    </w:p>
    <w:p w:rsidR="008D6B51" w:rsidRDefault="008D6B51" w:rsidP="008D6B51">
      <w:pPr>
        <w:rPr>
          <w:rFonts w:asciiTheme="minorHAnsi" w:eastAsia="Times New Roman" w:hAnsiTheme="minorHAnsi" w:cstheme="minorHAnsi"/>
          <w:color w:val="000000" w:themeColor="text1"/>
          <w:szCs w:val="20"/>
        </w:rPr>
      </w:pPr>
      <w:r>
        <w:t xml:space="preserve">Clinical trials in Australia are conducted in accordance with requirements of the </w:t>
      </w:r>
      <w:r w:rsidRPr="00CE29F8">
        <w:rPr>
          <w:i/>
        </w:rPr>
        <w:t>Therapeutic Goods Act 1989</w:t>
      </w:r>
      <w:r>
        <w:t xml:space="preserve">, which is administered by the Therapeutic Goods Administration (TGA). </w:t>
      </w:r>
      <w:r w:rsidRPr="00961290">
        <w:t>Therefore, in addition to</w:t>
      </w:r>
      <w:r>
        <w:t xml:space="preserve"> approval by the Regulator, Novotech </w:t>
      </w:r>
      <w:r w:rsidRPr="000D658D">
        <w:rPr>
          <w:rFonts w:asciiTheme="minorHAnsi" w:hAnsiTheme="minorHAnsi"/>
          <w:szCs w:val="22"/>
        </w:rPr>
        <w:t xml:space="preserve">(Australia) Pty Limited </w:t>
      </w:r>
      <w:r w:rsidRPr="00961290">
        <w:t>w</w:t>
      </w:r>
      <w:r>
        <w:t xml:space="preserve">ould require authorisation from TGA before the trial commences. Clinical trials conducted in Australia must also be conducted in accordance with the </w:t>
      </w:r>
      <w:hyperlink r:id="rId8" w:history="1">
        <w:r w:rsidRPr="00E40D40">
          <w:rPr>
            <w:rStyle w:val="Hyperlink"/>
            <w:i/>
          </w:rPr>
          <w:t>National Statement on Ethical Conduct in Human Research</w:t>
        </w:r>
      </w:hyperlink>
      <w:r w:rsidRPr="00613DD7">
        <w:rPr>
          <w:i/>
        </w:rPr>
        <w:t xml:space="preserve"> </w:t>
      </w:r>
      <w:r>
        <w:t>and wit</w:t>
      </w:r>
      <w:r w:rsidRPr="00E40D40">
        <w:rPr>
          <w:szCs w:val="22"/>
        </w:rPr>
        <w:t xml:space="preserve">h the </w:t>
      </w:r>
      <w:hyperlink r:id="rId9" w:history="1">
        <w:r w:rsidRPr="00E40D40">
          <w:rPr>
            <w:rStyle w:val="Hyperlink"/>
            <w:rFonts w:asciiTheme="minorHAnsi" w:eastAsia="Times New Roman" w:hAnsiTheme="minorHAnsi" w:cstheme="minorHAnsi"/>
            <w:i/>
            <w:szCs w:val="20"/>
          </w:rPr>
          <w:t>Guidelines for Good Clinical</w:t>
        </w:r>
        <w:r w:rsidRPr="00E40D40">
          <w:rPr>
            <w:rStyle w:val="Hyperlink"/>
            <w:rFonts w:asciiTheme="minorHAnsi" w:eastAsia="Times New Roman" w:hAnsiTheme="minorHAnsi" w:cstheme="minorHAnsi"/>
            <w:szCs w:val="20"/>
          </w:rPr>
          <w:t xml:space="preserve"> </w:t>
        </w:r>
        <w:r w:rsidRPr="00E40D40">
          <w:rPr>
            <w:rStyle w:val="Hyperlink"/>
            <w:rFonts w:asciiTheme="minorHAnsi" w:eastAsia="Times New Roman" w:hAnsiTheme="minorHAnsi" w:cstheme="minorHAnsi"/>
            <w:i/>
            <w:szCs w:val="20"/>
          </w:rPr>
          <w:t>Practice</w:t>
        </w:r>
      </w:hyperlink>
      <w:r w:rsidRPr="003A0D85">
        <w:rPr>
          <w:rFonts w:asciiTheme="minorHAnsi" w:eastAsia="Times New Roman" w:hAnsiTheme="minorHAnsi" w:cstheme="minorHAnsi"/>
          <w:color w:val="000000" w:themeColor="text1"/>
          <w:szCs w:val="20"/>
        </w:rPr>
        <w:t xml:space="preserve"> of the International Council for Harmonisation of Technical Requirements for Registration of Pharmaceuticals for Human Use</w:t>
      </w:r>
      <w:r>
        <w:rPr>
          <w:rFonts w:asciiTheme="minorHAnsi" w:eastAsia="Times New Roman" w:hAnsiTheme="minorHAnsi" w:cstheme="minorHAnsi"/>
          <w:color w:val="000000" w:themeColor="text1"/>
          <w:szCs w:val="20"/>
        </w:rPr>
        <w:t>.</w:t>
      </w:r>
    </w:p>
    <w:p w:rsidR="008D6B51" w:rsidRDefault="008D6B51" w:rsidP="008D6B51">
      <w:r w:rsidRPr="0020026D">
        <w:t>The international sponsor for the trial is a privately held, clinical-stage biopharmaceutical company CG Oncology, which is based in the United States. Novotech</w:t>
      </w:r>
      <w:r>
        <w:t>,</w:t>
      </w:r>
      <w:r w:rsidRPr="0020026D">
        <w:t xml:space="preserve"> a clinical research organisation</w:t>
      </w:r>
      <w:r>
        <w:t>,</w:t>
      </w:r>
      <w:r w:rsidRPr="0020026D">
        <w:t xml:space="preserve"> is applying for authorisation to conduct the proposed clinical trial in Australia and </w:t>
      </w:r>
      <w:r>
        <w:t>is</w:t>
      </w:r>
      <w:r w:rsidRPr="0020026D">
        <w:t xml:space="preserve"> responsible for ensuring that the licence conditions are met.</w:t>
      </w:r>
    </w:p>
    <w:p w:rsidR="008D6B51" w:rsidRPr="00961290" w:rsidRDefault="008D6B51" w:rsidP="008D6B51">
      <w:pPr>
        <w:rPr>
          <w:rFonts w:asciiTheme="minorHAnsi" w:hAnsiTheme="minorHAnsi"/>
          <w:szCs w:val="22"/>
        </w:rPr>
      </w:pPr>
      <w:r>
        <w:t xml:space="preserve">Novotech </w:t>
      </w:r>
      <w:r>
        <w:rPr>
          <w:rFonts w:asciiTheme="minorHAnsi" w:hAnsiTheme="minorHAnsi"/>
          <w:szCs w:val="22"/>
        </w:rPr>
        <w:t>(Australia) Pty Limited</w:t>
      </w:r>
      <w:r>
        <w:rPr>
          <w:rFonts w:asciiTheme="minorHAnsi" w:eastAsia="Times New Roman" w:hAnsiTheme="minorHAnsi" w:cstheme="minorHAnsi"/>
          <w:color w:val="000000" w:themeColor="text1"/>
          <w:szCs w:val="20"/>
        </w:rPr>
        <w:t xml:space="preserve"> would also require approval from the Department of Agriculture, Water and the Environment for import of the GMO.</w:t>
      </w:r>
    </w:p>
    <w:p w:rsidR="008D6B51" w:rsidRPr="00961290" w:rsidRDefault="008D6B51" w:rsidP="008D6B51">
      <w:pPr>
        <w:rPr>
          <w:rFonts w:asciiTheme="minorHAnsi" w:hAnsiTheme="minorHAnsi"/>
          <w:szCs w:val="22"/>
        </w:rPr>
      </w:pPr>
      <w:r w:rsidRPr="00961290">
        <w:rPr>
          <w:rFonts w:asciiTheme="minorHAnsi" w:hAnsiTheme="minorHAnsi"/>
          <w:szCs w:val="22"/>
        </w:rPr>
        <w:lastRenderedPageBreak/>
        <w:t>The Regulator has prepared a Risk Assessment and Risk Management Plan (RARMP) for this application</w:t>
      </w:r>
      <w:r w:rsidRPr="005478C6">
        <w:rPr>
          <w:rFonts w:asciiTheme="minorHAnsi" w:hAnsiTheme="minorHAnsi"/>
          <w:szCs w:val="22"/>
        </w:rPr>
        <w:t xml:space="preserve">, which concludes that the proposed </w:t>
      </w:r>
      <w:r>
        <w:rPr>
          <w:rFonts w:asciiTheme="minorHAnsi" w:hAnsiTheme="minorHAnsi"/>
          <w:szCs w:val="22"/>
        </w:rPr>
        <w:t xml:space="preserve">clinical </w:t>
      </w:r>
      <w:r w:rsidRPr="005478C6">
        <w:rPr>
          <w:rFonts w:asciiTheme="minorHAnsi" w:hAnsiTheme="minorHAnsi"/>
          <w:szCs w:val="22"/>
        </w:rPr>
        <w:t>trial poses negligible risks to human health and safety and the environment, and that any risks posed by the dealings can be managed by im</w:t>
      </w:r>
      <w:r>
        <w:rPr>
          <w:rFonts w:asciiTheme="minorHAnsi" w:hAnsiTheme="minorHAnsi"/>
          <w:szCs w:val="22"/>
        </w:rPr>
        <w:t>posing conditions on the trial</w:t>
      </w:r>
      <w:r w:rsidRPr="005478C6">
        <w:rPr>
          <w:rFonts w:asciiTheme="minorHAnsi" w:hAnsiTheme="minorHAnsi"/>
          <w:szCs w:val="22"/>
        </w:rPr>
        <w:t>.</w:t>
      </w:r>
    </w:p>
    <w:p w:rsidR="008D6B51" w:rsidRPr="00BE1C84" w:rsidRDefault="008D6B51" w:rsidP="008D6B51">
      <w:pPr>
        <w:pStyle w:val="Heading2"/>
      </w:pPr>
      <w:bookmarkStart w:id="17" w:name="_Toc53666197"/>
      <w:bookmarkStart w:id="18" w:name="_Toc62034334"/>
      <w:r w:rsidRPr="00B4169D">
        <w:rPr>
          <w:rFonts w:asciiTheme="minorHAnsi" w:hAnsiTheme="minorHAnsi"/>
        </w:rPr>
        <w:t>The application</w:t>
      </w:r>
      <w:bookmarkEnd w:id="16"/>
      <w:bookmarkEnd w:id="17"/>
      <w:bookmarkEnd w:id="18"/>
    </w:p>
    <w:tbl>
      <w:tblPr>
        <w:tblStyle w:val="PlainTable2"/>
        <w:tblW w:w="9200" w:type="dxa"/>
        <w:tblLayout w:type="fixed"/>
        <w:tblLook w:val="0000" w:firstRow="0" w:lastRow="0" w:firstColumn="0" w:lastColumn="0" w:noHBand="0" w:noVBand="0"/>
        <w:tblCaption w:val="The application"/>
        <w:tblDescription w:val="This table provides summary information about the licence application at a glance. The table has 8 rows, one each for Project title, Parent organism, Principal purpose, Genetic modifications, Previous clinical trials, Proposed duration, Proposed trial size and Proposed locations."/>
      </w:tblPr>
      <w:tblGrid>
        <w:gridCol w:w="1986"/>
        <w:gridCol w:w="7214"/>
      </w:tblGrid>
      <w:tr w:rsidR="008D6B51" w:rsidRPr="00961290" w:rsidTr="001A7C99">
        <w:trPr>
          <w:tblHeader/>
        </w:trPr>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spacing w:before="60" w:after="60"/>
              <w:rPr>
                <w:rFonts w:ascii="Calibri" w:hAnsi="Calibri"/>
                <w:i/>
              </w:rPr>
            </w:pPr>
            <w:r w:rsidRPr="00961290">
              <w:rPr>
                <w:rFonts w:ascii="Calibri" w:hAnsi="Calibri"/>
                <w:i/>
              </w:rPr>
              <w:t>Project Title</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961290" w:rsidRDefault="008D6B51" w:rsidP="00094374">
            <w:pPr>
              <w:pStyle w:val="RIGHTLIST"/>
              <w:spacing w:before="60" w:after="60"/>
              <w:rPr>
                <w:rFonts w:ascii="Calibri" w:hAnsi="Calibri"/>
              </w:rPr>
            </w:pPr>
            <w:r w:rsidRPr="00527208">
              <w:rPr>
                <w:rFonts w:ascii="Calibri" w:hAnsi="Calibri"/>
              </w:rPr>
              <w:t xml:space="preserve">Clinical trial </w:t>
            </w:r>
            <w:r>
              <w:rPr>
                <w:rFonts w:ascii="Calibri" w:hAnsi="Calibri"/>
              </w:rPr>
              <w:t xml:space="preserve">of a </w:t>
            </w:r>
            <w:r w:rsidRPr="00527208">
              <w:rPr>
                <w:rFonts w:ascii="Calibri" w:hAnsi="Calibri"/>
              </w:rPr>
              <w:t xml:space="preserve">genetically modified </w:t>
            </w:r>
            <w:r>
              <w:rPr>
                <w:rFonts w:ascii="Calibri" w:hAnsi="Calibri"/>
              </w:rPr>
              <w:t>h</w:t>
            </w:r>
            <w:r w:rsidRPr="00527208">
              <w:rPr>
                <w:rFonts w:ascii="Calibri" w:hAnsi="Calibri"/>
              </w:rPr>
              <w:t xml:space="preserve">uman </w:t>
            </w:r>
            <w:r>
              <w:rPr>
                <w:rFonts w:ascii="Calibri" w:hAnsi="Calibri"/>
              </w:rPr>
              <w:t>a</w:t>
            </w:r>
            <w:r w:rsidRPr="00527208">
              <w:rPr>
                <w:rFonts w:ascii="Calibri" w:hAnsi="Calibri"/>
              </w:rPr>
              <w:t>denovirus</w:t>
            </w:r>
            <w:r>
              <w:rPr>
                <w:rFonts w:ascii="Calibri" w:hAnsi="Calibri"/>
              </w:rPr>
              <w:t xml:space="preserve"> for treatment of bladder cancer </w:t>
            </w:r>
            <w:r>
              <w:rPr>
                <w:rStyle w:val="FootnoteReference"/>
              </w:rPr>
              <w:footnoteReference w:id="1"/>
            </w:r>
            <w:r w:rsidRPr="00527208">
              <w:rPr>
                <w:rFonts w:ascii="Calibri" w:hAnsi="Calibri"/>
              </w:rPr>
              <w:t>.</w:t>
            </w:r>
          </w:p>
        </w:tc>
      </w:tr>
      <w:tr w:rsidR="008D6B51" w:rsidRPr="00961290" w:rsidTr="001A7C99">
        <w:trPr>
          <w:cnfStyle w:val="000000100000" w:firstRow="0" w:lastRow="0" w:firstColumn="0" w:lastColumn="0" w:oddVBand="0" w:evenVBand="0" w:oddHBand="1" w:evenHBand="0" w:firstRowFirstColumn="0" w:firstRowLastColumn="0" w:lastRowFirstColumn="0" w:lastRowLastColumn="0"/>
          <w:trHeight w:val="346"/>
        </w:trPr>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keepLines/>
              <w:widowControl w:val="0"/>
              <w:spacing w:before="40"/>
              <w:rPr>
                <w:rFonts w:ascii="Calibri" w:hAnsi="Calibri"/>
                <w:i/>
              </w:rPr>
            </w:pPr>
            <w:r w:rsidRPr="00961290">
              <w:rPr>
                <w:rFonts w:ascii="Calibri" w:hAnsi="Calibri"/>
                <w:i/>
              </w:rPr>
              <w:t>Parent organism</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961290" w:rsidRDefault="008D6B51" w:rsidP="00094374">
            <w:pPr>
              <w:pStyle w:val="RIGHTLIST"/>
              <w:keepNext w:val="0"/>
              <w:keepLines/>
              <w:widowControl w:val="0"/>
              <w:spacing w:before="60" w:after="60"/>
              <w:rPr>
                <w:rFonts w:ascii="Calibri" w:hAnsi="Calibri"/>
              </w:rPr>
            </w:pPr>
            <w:r w:rsidRPr="00527208">
              <w:rPr>
                <w:rFonts w:ascii="Calibri" w:hAnsi="Calibri"/>
              </w:rPr>
              <w:t xml:space="preserve">Human </w:t>
            </w:r>
            <w:r>
              <w:rPr>
                <w:rFonts w:ascii="Calibri" w:hAnsi="Calibri"/>
              </w:rPr>
              <w:t>a</w:t>
            </w:r>
            <w:r w:rsidRPr="00527208">
              <w:rPr>
                <w:rFonts w:ascii="Calibri" w:hAnsi="Calibri"/>
              </w:rPr>
              <w:t>denovirus type 5 (Ad5)</w:t>
            </w:r>
          </w:p>
        </w:tc>
      </w:tr>
      <w:tr w:rsidR="008D6B51" w:rsidRPr="00961290" w:rsidTr="001A7C99">
        <w:trPr>
          <w:trHeight w:val="346"/>
        </w:trPr>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keepLines/>
              <w:widowControl w:val="0"/>
              <w:spacing w:before="40"/>
              <w:rPr>
                <w:rFonts w:ascii="Calibri" w:hAnsi="Calibri"/>
                <w:i/>
              </w:rPr>
            </w:pPr>
            <w:r w:rsidRPr="00961290">
              <w:rPr>
                <w:rFonts w:ascii="Calibri" w:hAnsi="Calibri" w:cs="Calibri"/>
                <w:i/>
              </w:rPr>
              <w:t>Principal purpose</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961290" w:rsidRDefault="008D6B51" w:rsidP="00094374">
            <w:pPr>
              <w:pStyle w:val="RIGHTLIST"/>
              <w:keepNext w:val="0"/>
              <w:keepLines/>
              <w:widowControl w:val="0"/>
              <w:spacing w:before="60" w:after="60"/>
              <w:rPr>
                <w:rFonts w:ascii="Calibri" w:hAnsi="Calibri" w:cs="Calibri"/>
              </w:rPr>
            </w:pPr>
            <w:r>
              <w:rPr>
                <w:rFonts w:ascii="Calibri" w:hAnsi="Calibri" w:cs="Calibri"/>
              </w:rPr>
              <w:t>The proposed trial is a p</w:t>
            </w:r>
            <w:r w:rsidRPr="00527208">
              <w:rPr>
                <w:rFonts w:ascii="Calibri" w:hAnsi="Calibri" w:cs="Calibri"/>
              </w:rPr>
              <w:t>hase 3 study designed to evaluate the</w:t>
            </w:r>
            <w:r>
              <w:rPr>
                <w:rFonts w:ascii="Calibri" w:hAnsi="Calibri" w:cs="Calibri"/>
              </w:rPr>
              <w:t xml:space="preserve"> efficacy</w:t>
            </w:r>
            <w:r w:rsidRPr="00527208">
              <w:rPr>
                <w:rFonts w:ascii="Calibri" w:hAnsi="Calibri" w:cs="Calibri"/>
              </w:rPr>
              <w:t xml:space="preserve"> of the</w:t>
            </w:r>
            <w:r>
              <w:rPr>
                <w:rFonts w:ascii="Calibri" w:hAnsi="Calibri" w:cs="Calibri"/>
              </w:rPr>
              <w:t xml:space="preserve"> genetically modified</w:t>
            </w:r>
            <w:r w:rsidRPr="00527208">
              <w:rPr>
                <w:rFonts w:ascii="Calibri" w:hAnsi="Calibri" w:cs="Calibri"/>
              </w:rPr>
              <w:t xml:space="preserve"> </w:t>
            </w:r>
            <w:r>
              <w:rPr>
                <w:rFonts w:ascii="Calibri" w:hAnsi="Calibri" w:cs="Calibri"/>
              </w:rPr>
              <w:t>human a</w:t>
            </w:r>
            <w:r w:rsidRPr="00527208">
              <w:rPr>
                <w:rFonts w:ascii="Calibri" w:hAnsi="Calibri" w:cs="Calibri"/>
              </w:rPr>
              <w:t>denovirus</w:t>
            </w:r>
            <w:r>
              <w:rPr>
                <w:rFonts w:ascii="Calibri" w:hAnsi="Calibri" w:cs="Calibri"/>
              </w:rPr>
              <w:t xml:space="preserve"> for bladder cancer treatment</w:t>
            </w:r>
            <w:r w:rsidRPr="00527208">
              <w:rPr>
                <w:rFonts w:ascii="Calibri" w:hAnsi="Calibri" w:cs="Calibri"/>
              </w:rPr>
              <w:t xml:space="preserve"> in </w:t>
            </w:r>
            <w:r>
              <w:rPr>
                <w:rFonts w:ascii="Calibri" w:hAnsi="Calibri" w:cs="Calibri"/>
              </w:rPr>
              <w:t>participants</w:t>
            </w:r>
            <w:r w:rsidRPr="00527208">
              <w:rPr>
                <w:rFonts w:ascii="Calibri" w:hAnsi="Calibri" w:cs="Calibri"/>
              </w:rPr>
              <w:t xml:space="preserve"> </w:t>
            </w:r>
            <w:r>
              <w:rPr>
                <w:rFonts w:ascii="Calibri" w:hAnsi="Calibri" w:cs="Calibri"/>
              </w:rPr>
              <w:t xml:space="preserve">whose tumours are </w:t>
            </w:r>
            <w:r w:rsidRPr="00527208">
              <w:rPr>
                <w:rFonts w:ascii="Calibri" w:hAnsi="Calibri" w:cs="Calibri"/>
              </w:rPr>
              <w:t xml:space="preserve">unresponsive to </w:t>
            </w:r>
            <w:r>
              <w:rPr>
                <w:rFonts w:ascii="Calibri" w:hAnsi="Calibri" w:cs="Calibri"/>
              </w:rPr>
              <w:t>standard treatment.</w:t>
            </w:r>
          </w:p>
        </w:tc>
      </w:tr>
      <w:tr w:rsidR="008D6B51" w:rsidRPr="00961290" w:rsidTr="001A7C99">
        <w:trPr>
          <w:cnfStyle w:val="000000100000" w:firstRow="0" w:lastRow="0" w:firstColumn="0" w:lastColumn="0" w:oddVBand="0" w:evenVBand="0" w:oddHBand="1" w:evenHBand="0" w:firstRowFirstColumn="0" w:firstRowLastColumn="0" w:lastRowFirstColumn="0" w:lastRowLastColumn="0"/>
          <w:trHeight w:val="1841"/>
        </w:trPr>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widowControl w:val="0"/>
              <w:spacing w:before="40"/>
              <w:rPr>
                <w:rFonts w:ascii="Calibri" w:hAnsi="Calibri"/>
                <w:b w:val="0"/>
                <w:i/>
              </w:rPr>
            </w:pPr>
            <w:r w:rsidRPr="00961290">
              <w:rPr>
                <w:rFonts w:ascii="Calibri" w:hAnsi="Calibri"/>
                <w:i/>
              </w:rPr>
              <w:t>Genetic modifications</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CA6D39" w:rsidRDefault="008D6B51" w:rsidP="00094374">
            <w:pPr>
              <w:pStyle w:val="RIGHTLIST"/>
              <w:keepNext w:val="0"/>
              <w:widowControl w:val="0"/>
              <w:spacing w:before="60" w:after="60"/>
              <w:rPr>
                <w:rFonts w:asciiTheme="minorHAnsi" w:hAnsiTheme="minorHAnsi" w:cstheme="minorHAnsi"/>
                <w:i/>
              </w:rPr>
            </w:pPr>
            <w:r w:rsidRPr="009C1174">
              <w:rPr>
                <w:rFonts w:asciiTheme="minorHAnsi" w:hAnsiTheme="minorHAnsi" w:cstheme="minorHAnsi"/>
              </w:rPr>
              <w:t>Modified</w:t>
            </w:r>
            <w:r>
              <w:rPr>
                <w:rFonts w:asciiTheme="minorHAnsi" w:hAnsiTheme="minorHAnsi" w:cstheme="minorHAnsi"/>
              </w:rPr>
              <w:t xml:space="preserve"> human</w:t>
            </w:r>
            <w:r w:rsidRPr="009C1174">
              <w:rPr>
                <w:rFonts w:asciiTheme="minorHAnsi" w:hAnsiTheme="minorHAnsi" w:cstheme="minorHAnsi"/>
              </w:rPr>
              <w:t xml:space="preserve"> </w:t>
            </w:r>
            <w:r>
              <w:rPr>
                <w:rFonts w:asciiTheme="minorHAnsi" w:hAnsiTheme="minorHAnsi" w:cstheme="minorHAnsi"/>
              </w:rPr>
              <w:t>a</w:t>
            </w:r>
            <w:r w:rsidRPr="009C1174">
              <w:rPr>
                <w:rFonts w:asciiTheme="minorHAnsi" w:hAnsiTheme="minorHAnsi" w:cstheme="minorHAnsi"/>
              </w:rPr>
              <w:t>denovirus:</w:t>
            </w:r>
            <w:r>
              <w:rPr>
                <w:rFonts w:asciiTheme="minorHAnsi" w:hAnsiTheme="minorHAnsi" w:cstheme="minorHAnsi"/>
              </w:rPr>
              <w:t xml:space="preserve"> </w:t>
            </w:r>
          </w:p>
          <w:p w:rsidR="008D6B51" w:rsidRDefault="008D6B51" w:rsidP="00094374">
            <w:pPr>
              <w:pStyle w:val="RIGHTLIST"/>
              <w:keepNext w:val="0"/>
              <w:widowControl w:val="0"/>
              <w:spacing w:before="60" w:after="60"/>
              <w:rPr>
                <w:rFonts w:asciiTheme="minorHAnsi" w:hAnsiTheme="minorHAnsi" w:cstheme="minorHAnsi"/>
                <w:i/>
              </w:rPr>
            </w:pPr>
            <w:r w:rsidRPr="004F53D0">
              <w:rPr>
                <w:rFonts w:asciiTheme="minorHAnsi" w:hAnsiTheme="minorHAnsi" w:cstheme="minorHAnsi"/>
              </w:rPr>
              <w:t xml:space="preserve">Partial deletion of viral </w:t>
            </w:r>
            <w:r w:rsidRPr="00160394">
              <w:rPr>
                <w:rFonts w:asciiTheme="minorHAnsi" w:hAnsiTheme="minorHAnsi" w:cstheme="minorHAnsi"/>
                <w:i/>
              </w:rPr>
              <w:t>gene E3</w:t>
            </w:r>
            <w:r>
              <w:rPr>
                <w:rFonts w:asciiTheme="minorHAnsi" w:hAnsiTheme="minorHAnsi" w:cstheme="minorHAnsi"/>
                <w:i/>
              </w:rPr>
              <w:t xml:space="preserve"> and E1a promoter </w:t>
            </w:r>
            <w:r w:rsidRPr="004F53D0">
              <w:rPr>
                <w:rFonts w:asciiTheme="minorHAnsi" w:hAnsiTheme="minorHAnsi" w:cstheme="minorHAnsi"/>
              </w:rPr>
              <w:t>and insertion of</w:t>
            </w:r>
            <w:r>
              <w:rPr>
                <w:rFonts w:asciiTheme="minorHAnsi" w:hAnsiTheme="minorHAnsi" w:cstheme="minorHAnsi"/>
                <w:i/>
              </w:rPr>
              <w:t>:</w:t>
            </w:r>
          </w:p>
          <w:p w:rsidR="008D6B51" w:rsidRDefault="008D6B51" w:rsidP="008D6B51">
            <w:pPr>
              <w:pStyle w:val="RIGHTLIST"/>
              <w:keepNext w:val="0"/>
              <w:widowControl w:val="0"/>
              <w:numPr>
                <w:ilvl w:val="0"/>
                <w:numId w:val="1"/>
              </w:numPr>
              <w:spacing w:before="60" w:after="60"/>
              <w:rPr>
                <w:rFonts w:asciiTheme="minorHAnsi" w:hAnsiTheme="minorHAnsi" w:cstheme="minorHAnsi"/>
                <w:i/>
              </w:rPr>
            </w:pPr>
            <w:r w:rsidRPr="00E8059D">
              <w:rPr>
                <w:rFonts w:asciiTheme="minorHAnsi" w:hAnsiTheme="minorHAnsi" w:cstheme="minorHAnsi"/>
              </w:rPr>
              <w:t xml:space="preserve">A promoter providing tumour specificity </w:t>
            </w:r>
            <w:r>
              <w:rPr>
                <w:rFonts w:asciiTheme="minorHAnsi" w:hAnsiTheme="minorHAnsi" w:cstheme="minorHAnsi"/>
              </w:rPr>
              <w:t>–</w:t>
            </w:r>
            <w:r>
              <w:rPr>
                <w:rFonts w:asciiTheme="minorHAnsi" w:hAnsiTheme="minorHAnsi" w:cstheme="minorHAnsi"/>
                <w:i/>
              </w:rPr>
              <w:t xml:space="preserve"> human hE2F-1 promoter </w:t>
            </w:r>
          </w:p>
          <w:p w:rsidR="008D6B51" w:rsidRPr="00CB6150" w:rsidRDefault="008D6B51" w:rsidP="008D6B51">
            <w:pPr>
              <w:pStyle w:val="RIGHTLIST"/>
              <w:keepNext w:val="0"/>
              <w:widowControl w:val="0"/>
              <w:numPr>
                <w:ilvl w:val="0"/>
                <w:numId w:val="1"/>
              </w:numPr>
              <w:spacing w:before="60" w:after="60"/>
              <w:rPr>
                <w:rFonts w:ascii="Calibri" w:hAnsi="Calibri"/>
              </w:rPr>
            </w:pPr>
            <w:r w:rsidRPr="00E4407A">
              <w:rPr>
                <w:rFonts w:asciiTheme="minorHAnsi" w:hAnsiTheme="minorHAnsi" w:cstheme="minorHAnsi"/>
              </w:rPr>
              <w:t xml:space="preserve">A gene stimulating anti-tumour response </w:t>
            </w:r>
            <w:r w:rsidRPr="00E4407A">
              <w:rPr>
                <w:rFonts w:asciiTheme="minorHAnsi" w:hAnsiTheme="minorHAnsi" w:cstheme="minorHAnsi"/>
                <w:i/>
              </w:rPr>
              <w:t xml:space="preserve">– human </w:t>
            </w:r>
            <w:r w:rsidRPr="00A06191">
              <w:rPr>
                <w:rFonts w:asciiTheme="minorHAnsi" w:hAnsiTheme="minorHAnsi" w:cstheme="minorHAnsi"/>
                <w:i/>
              </w:rPr>
              <w:t>hGM-CSF gene</w:t>
            </w:r>
          </w:p>
          <w:p w:rsidR="008D6B51" w:rsidRPr="00964478" w:rsidRDefault="008D6B51" w:rsidP="008D6B51">
            <w:pPr>
              <w:pStyle w:val="RIGHTLIST"/>
              <w:keepNext w:val="0"/>
              <w:widowControl w:val="0"/>
              <w:numPr>
                <w:ilvl w:val="0"/>
                <w:numId w:val="1"/>
              </w:numPr>
              <w:spacing w:before="60" w:after="60"/>
              <w:rPr>
                <w:rFonts w:ascii="Calibri" w:hAnsi="Calibri"/>
              </w:rPr>
            </w:pPr>
            <w:r>
              <w:rPr>
                <w:rFonts w:ascii="Calibri" w:hAnsi="Calibri"/>
              </w:rPr>
              <w:t>pA signal</w:t>
            </w:r>
            <w:r>
              <w:t xml:space="preserve"> </w:t>
            </w:r>
            <w:r w:rsidRPr="00CB6150">
              <w:rPr>
                <w:rFonts w:ascii="Calibri" w:hAnsi="Calibri"/>
              </w:rPr>
              <w:t>protect</w:t>
            </w:r>
            <w:r>
              <w:rPr>
                <w:rFonts w:ascii="Calibri" w:hAnsi="Calibri"/>
              </w:rPr>
              <w:t xml:space="preserve">ing </w:t>
            </w:r>
            <w:r w:rsidRPr="00CB6150">
              <w:rPr>
                <w:rFonts w:ascii="Calibri" w:hAnsi="Calibri"/>
              </w:rPr>
              <w:t>from transcriptional read-through</w:t>
            </w:r>
          </w:p>
        </w:tc>
      </w:tr>
      <w:tr w:rsidR="008D6B51" w:rsidRPr="00961290" w:rsidTr="001A7C99">
        <w:trPr>
          <w:trHeight w:val="781"/>
        </w:trPr>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widowControl w:val="0"/>
              <w:spacing w:before="40"/>
              <w:rPr>
                <w:rFonts w:ascii="Calibri" w:hAnsi="Calibri"/>
                <w:i/>
              </w:rPr>
            </w:pPr>
            <w:r>
              <w:rPr>
                <w:rFonts w:ascii="Calibri" w:hAnsi="Calibri"/>
                <w:i/>
              </w:rPr>
              <w:t>Previous clinical trials</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527208" w:rsidRDefault="008D6B51" w:rsidP="00094374">
            <w:pPr>
              <w:pStyle w:val="RIGHTLIST"/>
              <w:widowControl w:val="0"/>
              <w:spacing w:before="60" w:after="60"/>
              <w:rPr>
                <w:rFonts w:ascii="Calibri" w:hAnsi="Calibri" w:cs="Calibri"/>
              </w:rPr>
            </w:pPr>
            <w:r w:rsidRPr="00527208">
              <w:rPr>
                <w:rFonts w:ascii="Calibri" w:hAnsi="Calibri" w:cs="Calibri"/>
              </w:rPr>
              <w:t xml:space="preserve">Three clinical trials </w:t>
            </w:r>
            <w:r>
              <w:rPr>
                <w:rFonts w:ascii="Calibri" w:hAnsi="Calibri" w:cs="Calibri"/>
              </w:rPr>
              <w:t>have been</w:t>
            </w:r>
            <w:r w:rsidRPr="00527208">
              <w:rPr>
                <w:rFonts w:ascii="Calibri" w:hAnsi="Calibri" w:cs="Calibri"/>
              </w:rPr>
              <w:t xml:space="preserve"> conducted:</w:t>
            </w:r>
          </w:p>
          <w:p w:rsidR="008D6B51" w:rsidRPr="00527208" w:rsidRDefault="008D6B51" w:rsidP="00094374">
            <w:pPr>
              <w:pStyle w:val="RIGHTLIST"/>
              <w:widowControl w:val="0"/>
              <w:spacing w:before="60" w:after="60"/>
              <w:rPr>
                <w:rFonts w:ascii="Calibri" w:hAnsi="Calibri" w:cs="Calibri"/>
              </w:rPr>
            </w:pPr>
            <w:r w:rsidRPr="00527208">
              <w:rPr>
                <w:rFonts w:ascii="Calibri" w:hAnsi="Calibri" w:cs="Calibri"/>
              </w:rPr>
              <w:t>Phase 1 clinical trials in the United States and Canada</w:t>
            </w:r>
          </w:p>
          <w:p w:rsidR="008D6B51" w:rsidRPr="00527208" w:rsidRDefault="008D6B51" w:rsidP="00094374">
            <w:pPr>
              <w:pStyle w:val="RIGHTLIST"/>
              <w:widowControl w:val="0"/>
              <w:spacing w:before="60" w:after="60"/>
              <w:rPr>
                <w:rFonts w:ascii="Calibri" w:hAnsi="Calibri" w:cs="Calibri"/>
              </w:rPr>
            </w:pPr>
            <w:r w:rsidRPr="00527208">
              <w:rPr>
                <w:rFonts w:ascii="Calibri" w:hAnsi="Calibri" w:cs="Calibri"/>
              </w:rPr>
              <w:t xml:space="preserve">Phase 2 clinical trial in the United </w:t>
            </w:r>
            <w:r>
              <w:rPr>
                <w:rFonts w:ascii="Calibri" w:hAnsi="Calibri" w:cs="Calibri"/>
              </w:rPr>
              <w:t>S</w:t>
            </w:r>
            <w:r w:rsidRPr="00527208">
              <w:rPr>
                <w:rFonts w:ascii="Calibri" w:hAnsi="Calibri" w:cs="Calibri"/>
              </w:rPr>
              <w:t>tates (study 1)</w:t>
            </w:r>
          </w:p>
          <w:p w:rsidR="008D6B51" w:rsidRDefault="008D6B51" w:rsidP="00094374">
            <w:pPr>
              <w:pStyle w:val="RIGHTLIST"/>
              <w:keepNext w:val="0"/>
              <w:widowControl w:val="0"/>
              <w:spacing w:before="60"/>
              <w:rPr>
                <w:rFonts w:ascii="Calibri" w:hAnsi="Calibri"/>
              </w:rPr>
            </w:pPr>
            <w:r w:rsidRPr="00527208">
              <w:rPr>
                <w:rFonts w:ascii="Calibri" w:hAnsi="Calibri" w:cs="Calibri"/>
              </w:rPr>
              <w:t>Phase 2</w:t>
            </w:r>
            <w:r>
              <w:rPr>
                <w:rFonts w:ascii="Calibri" w:hAnsi="Calibri" w:cs="Calibri"/>
              </w:rPr>
              <w:t xml:space="preserve"> clinical trial  in the United S</w:t>
            </w:r>
            <w:r w:rsidRPr="00527208">
              <w:rPr>
                <w:rFonts w:ascii="Calibri" w:hAnsi="Calibri" w:cs="Calibri"/>
              </w:rPr>
              <w:t>tates (study 2)</w:t>
            </w:r>
          </w:p>
        </w:tc>
      </w:tr>
      <w:tr w:rsidR="008D6B51" w:rsidRPr="00961290" w:rsidTr="001A7C9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00" w:type="dxa"/>
            <w:gridSpan w:val="2"/>
          </w:tcPr>
          <w:p w:rsidR="008D6B51" w:rsidRPr="00961290" w:rsidRDefault="008D6B51" w:rsidP="00094374">
            <w:pPr>
              <w:pStyle w:val="RIGHTLIST"/>
              <w:keepNext w:val="0"/>
              <w:keepLines/>
              <w:widowControl w:val="0"/>
              <w:spacing w:before="60" w:after="60"/>
              <w:rPr>
                <w:rFonts w:ascii="Calibri" w:hAnsi="Calibri" w:cs="Calibri"/>
                <w:b/>
                <w:i/>
              </w:rPr>
            </w:pPr>
            <w:r w:rsidRPr="00961290">
              <w:rPr>
                <w:rFonts w:ascii="Calibri" w:hAnsi="Calibri" w:cs="Calibri"/>
                <w:b/>
                <w:i/>
              </w:rPr>
              <w:t>Proposed limits</w:t>
            </w:r>
            <w:r>
              <w:rPr>
                <w:rFonts w:ascii="Calibri" w:hAnsi="Calibri" w:cs="Calibri"/>
                <w:b/>
                <w:i/>
              </w:rPr>
              <w:t xml:space="preserve"> and controls</w:t>
            </w:r>
          </w:p>
        </w:tc>
      </w:tr>
      <w:tr w:rsidR="008D6B51" w:rsidRPr="00961290" w:rsidTr="001A7C99">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widowControl w:val="0"/>
              <w:spacing w:before="40"/>
              <w:rPr>
                <w:rFonts w:ascii="Calibri" w:hAnsi="Calibri" w:cs="Calibri"/>
                <w:b w:val="0"/>
                <w:i/>
              </w:rPr>
            </w:pPr>
            <w:r>
              <w:rPr>
                <w:rFonts w:ascii="Calibri" w:hAnsi="Calibri" w:cs="Calibri"/>
                <w:b w:val="0"/>
                <w:i/>
              </w:rPr>
              <w:t>Proposed duration</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6D0588" w:rsidRDefault="008D6B51" w:rsidP="00094374">
            <w:pPr>
              <w:pStyle w:val="RIGHTLIST"/>
              <w:keepNext w:val="0"/>
              <w:widowControl w:val="0"/>
              <w:spacing w:before="60" w:after="60"/>
              <w:rPr>
                <w:rFonts w:ascii="Calibri" w:hAnsi="Calibri" w:cs="Calibri"/>
                <w:iCs/>
              </w:rPr>
            </w:pPr>
            <w:r>
              <w:rPr>
                <w:rFonts w:ascii="Calibri" w:hAnsi="Calibri" w:cs="Calibri"/>
                <w:iCs/>
              </w:rPr>
              <w:t>5 years</w:t>
            </w:r>
          </w:p>
        </w:tc>
      </w:tr>
      <w:tr w:rsidR="008D6B51" w:rsidRPr="00961290" w:rsidTr="001A7C9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widowControl w:val="0"/>
              <w:spacing w:before="40"/>
              <w:rPr>
                <w:rFonts w:ascii="Calibri" w:hAnsi="Calibri"/>
                <w:b w:val="0"/>
                <w:i/>
              </w:rPr>
            </w:pPr>
            <w:r w:rsidRPr="00961290">
              <w:rPr>
                <w:rFonts w:ascii="Calibri" w:hAnsi="Calibri" w:cs="Calibri"/>
                <w:b w:val="0"/>
                <w:i/>
              </w:rPr>
              <w:t xml:space="preserve">Proposed </w:t>
            </w:r>
            <w:r>
              <w:rPr>
                <w:rFonts w:ascii="Calibri" w:hAnsi="Calibri" w:cs="Calibri"/>
                <w:b w:val="0"/>
                <w:i/>
              </w:rPr>
              <w:t>trial</w:t>
            </w:r>
            <w:r w:rsidRPr="00961290">
              <w:rPr>
                <w:rFonts w:ascii="Calibri" w:hAnsi="Calibri" w:cs="Calibri"/>
                <w:b w:val="0"/>
                <w:i/>
              </w:rPr>
              <w:t xml:space="preserve"> size</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6D0588" w:rsidRDefault="008D6B51" w:rsidP="00094374">
            <w:pPr>
              <w:pStyle w:val="RIGHTLIST"/>
              <w:keepNext w:val="0"/>
              <w:widowControl w:val="0"/>
              <w:spacing w:before="60" w:after="60"/>
              <w:rPr>
                <w:rFonts w:ascii="Calibri" w:hAnsi="Calibri" w:cs="Calibri"/>
                <w:iCs/>
              </w:rPr>
            </w:pPr>
            <w:r>
              <w:rPr>
                <w:rFonts w:ascii="Calibri" w:hAnsi="Calibri" w:cs="Calibri"/>
                <w:iCs/>
              </w:rPr>
              <w:t>Up to 60</w:t>
            </w:r>
            <w:r w:rsidRPr="006D0588">
              <w:rPr>
                <w:rFonts w:ascii="Calibri" w:hAnsi="Calibri" w:cs="Calibri"/>
                <w:iCs/>
              </w:rPr>
              <w:t xml:space="preserve"> </w:t>
            </w:r>
            <w:r>
              <w:rPr>
                <w:rFonts w:ascii="Calibri" w:hAnsi="Calibri" w:cs="Calibri"/>
                <w:iCs/>
              </w:rPr>
              <w:t xml:space="preserve">clinical </w:t>
            </w:r>
            <w:r w:rsidRPr="006D0588">
              <w:rPr>
                <w:rFonts w:ascii="Calibri" w:hAnsi="Calibri" w:cs="Calibri"/>
                <w:iCs/>
              </w:rPr>
              <w:t>trial participants</w:t>
            </w:r>
            <w:r>
              <w:rPr>
                <w:rFonts w:ascii="Calibri" w:hAnsi="Calibri" w:cs="Calibri"/>
                <w:iCs/>
              </w:rPr>
              <w:t xml:space="preserve"> in Australia</w:t>
            </w:r>
          </w:p>
        </w:tc>
      </w:tr>
      <w:tr w:rsidR="008D6B51" w:rsidRPr="00961290" w:rsidTr="001A7C99">
        <w:tc>
          <w:tcPr>
            <w:cnfStyle w:val="000010000000" w:firstRow="0" w:lastRow="0" w:firstColumn="0" w:lastColumn="0" w:oddVBand="1" w:evenVBand="0" w:oddHBand="0" w:evenHBand="0" w:firstRowFirstColumn="0" w:firstRowLastColumn="0" w:lastRowFirstColumn="0" w:lastRowLastColumn="0"/>
            <w:tcW w:w="1986" w:type="dxa"/>
          </w:tcPr>
          <w:p w:rsidR="008D6B51" w:rsidRPr="00961290" w:rsidRDefault="008D6B51" w:rsidP="00094374">
            <w:pPr>
              <w:pStyle w:val="LEFTLIST"/>
              <w:keepNext w:val="0"/>
              <w:widowControl w:val="0"/>
              <w:spacing w:before="40"/>
              <w:rPr>
                <w:rFonts w:ascii="Calibri" w:hAnsi="Calibri"/>
                <w:b w:val="0"/>
                <w:i/>
              </w:rPr>
            </w:pPr>
            <w:r w:rsidRPr="00961290">
              <w:rPr>
                <w:rFonts w:ascii="Calibri" w:hAnsi="Calibri" w:cs="Calibri"/>
                <w:b w:val="0"/>
                <w:i/>
              </w:rPr>
              <w:t>Proposed location</w:t>
            </w:r>
            <w:r>
              <w:rPr>
                <w:rFonts w:ascii="Calibri" w:hAnsi="Calibri" w:cs="Calibri"/>
                <w:b w:val="0"/>
                <w:i/>
              </w:rPr>
              <w:t>s</w:t>
            </w:r>
          </w:p>
        </w:tc>
        <w:tc>
          <w:tcPr>
            <w:cnfStyle w:val="000001000000" w:firstRow="0" w:lastRow="0" w:firstColumn="0" w:lastColumn="0" w:oddVBand="0" w:evenVBand="1" w:oddHBand="0" w:evenHBand="0" w:firstRowFirstColumn="0" w:firstRowLastColumn="0" w:lastRowFirstColumn="0" w:lastRowLastColumn="0"/>
            <w:tcW w:w="7214" w:type="dxa"/>
          </w:tcPr>
          <w:p w:rsidR="008D6B51" w:rsidRPr="00961290" w:rsidRDefault="008D6B51" w:rsidP="00094374">
            <w:pPr>
              <w:pStyle w:val="RIGHTLIST"/>
              <w:keepNext w:val="0"/>
              <w:widowControl w:val="0"/>
              <w:spacing w:before="60" w:after="60"/>
              <w:rPr>
                <w:rFonts w:ascii="Calibri" w:hAnsi="Calibri"/>
              </w:rPr>
            </w:pPr>
            <w:r>
              <w:rPr>
                <w:rFonts w:ascii="Calibri" w:hAnsi="Calibri" w:cs="Calibri"/>
              </w:rPr>
              <w:t>Hospitals in NSW and VIC</w:t>
            </w:r>
          </w:p>
        </w:tc>
      </w:tr>
    </w:tbl>
    <w:p w:rsidR="008D6B51" w:rsidRPr="00961290" w:rsidRDefault="008D6B51" w:rsidP="008D6B51">
      <w:pPr>
        <w:pStyle w:val="Heading2"/>
      </w:pPr>
      <w:bookmarkStart w:id="19" w:name="_Toc53666198"/>
      <w:bookmarkStart w:id="20" w:name="_Toc62034335"/>
      <w:bookmarkStart w:id="21" w:name="_Toc209859549"/>
      <w:bookmarkStart w:id="22" w:name="_Toc274904728"/>
      <w:bookmarkStart w:id="23" w:name="_Toc291151778"/>
      <w:bookmarkStart w:id="24" w:name="_Toc355007997"/>
      <w:bookmarkStart w:id="25" w:name="_Toc465862036"/>
      <w:bookmarkStart w:id="26" w:name="_Toc466627806"/>
      <w:r w:rsidRPr="00B4169D">
        <w:rPr>
          <w:rFonts w:asciiTheme="minorHAnsi" w:hAnsiTheme="minorHAnsi"/>
        </w:rPr>
        <w:t>Risk</w:t>
      </w:r>
      <w:r w:rsidRPr="00961290">
        <w:t xml:space="preserve"> </w:t>
      </w:r>
      <w:r w:rsidRPr="00B4169D">
        <w:rPr>
          <w:rFonts w:asciiTheme="minorHAnsi" w:hAnsiTheme="minorHAnsi"/>
        </w:rPr>
        <w:t>assessment</w:t>
      </w:r>
      <w:bookmarkEnd w:id="19"/>
      <w:bookmarkEnd w:id="20"/>
    </w:p>
    <w:p w:rsidR="008D6B51" w:rsidRPr="00502E3A" w:rsidRDefault="008D6B51" w:rsidP="008D6B51">
      <w:pPr>
        <w:rPr>
          <w:bCs/>
        </w:rPr>
      </w:pPr>
      <w:r w:rsidRPr="00502E3A">
        <w:t>The risk assessment concludes that risks to the health and safety of people and the environment from the pro</w:t>
      </w:r>
      <w:r>
        <w:t>posed clinical trial</w:t>
      </w:r>
      <w:r w:rsidRPr="00502E3A">
        <w:t xml:space="preserve"> are </w:t>
      </w:r>
      <w:r w:rsidRPr="00502E3A">
        <w:rPr>
          <w:bCs/>
        </w:rPr>
        <w:t>negligible</w:t>
      </w:r>
      <w:r w:rsidRPr="00502E3A">
        <w:t xml:space="preserve">. No </w:t>
      </w:r>
      <w:r w:rsidRPr="00502E3A">
        <w:rPr>
          <w:rFonts w:eastAsia="SimSun" w:cs="Times New Roman"/>
          <w:szCs w:val="22"/>
        </w:rPr>
        <w:t>specific risk treatment measures are required to manage these negligible risks.</w:t>
      </w:r>
    </w:p>
    <w:p w:rsidR="008D6B51" w:rsidRPr="00961290" w:rsidRDefault="008D6B51" w:rsidP="008D6B51">
      <w:r w:rsidRPr="00961290">
        <w:t>The risk assessment process considers how the genetic modifications and proposed activiti</w:t>
      </w:r>
      <w:r>
        <w:t>es conducted with the GMO</w:t>
      </w:r>
      <w:r w:rsidRPr="00961290">
        <w:t xml:space="preserv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8D6B51" w:rsidRPr="001F3378" w:rsidRDefault="008D6B51" w:rsidP="008D6B51">
      <w:r w:rsidRPr="001F3378">
        <w:t>Credible pathways to potential harm that were considered include exposure of people or animals to the GMOs and</w:t>
      </w:r>
      <w:r>
        <w:t xml:space="preserve"> whether there is the potential for recombination</w:t>
      </w:r>
      <w:r w:rsidRPr="001F3378">
        <w:t xml:space="preserve"> with other viruses. Potential harms that were considered in relation to these pathways include ill health and increased disease in people or animals.</w:t>
      </w:r>
    </w:p>
    <w:p w:rsidR="008D6B51" w:rsidRPr="001F3378" w:rsidRDefault="008D6B51" w:rsidP="008D6B51">
      <w:pPr>
        <w:pStyle w:val="Body"/>
        <w:spacing w:before="120" w:after="120"/>
        <w:rPr>
          <w:rFonts w:asciiTheme="minorHAnsi" w:hAnsiTheme="minorHAnsi" w:cstheme="minorHAnsi"/>
          <w:color w:val="auto"/>
          <w:sz w:val="22"/>
          <w:szCs w:val="22"/>
        </w:rPr>
      </w:pPr>
      <w:r w:rsidRPr="001F3378">
        <w:rPr>
          <w:rFonts w:asciiTheme="minorHAnsi" w:hAnsiTheme="minorHAnsi" w:cstheme="minorHAnsi"/>
          <w:color w:val="auto"/>
          <w:sz w:val="22"/>
          <w:szCs w:val="22"/>
        </w:rPr>
        <w:lastRenderedPageBreak/>
        <w:t>Important factors in reaching the conclusions of the risk assessment i</w:t>
      </w:r>
      <w:r>
        <w:rPr>
          <w:rFonts w:asciiTheme="minorHAnsi" w:hAnsiTheme="minorHAnsi" w:cstheme="minorHAnsi"/>
          <w:color w:val="auto"/>
          <w:sz w:val="22"/>
          <w:szCs w:val="22"/>
        </w:rPr>
        <w:t>nclude: that the GMO replicates preferentially in cancer cells</w:t>
      </w:r>
      <w:r w:rsidRPr="001F3378">
        <w:rPr>
          <w:rFonts w:asciiTheme="minorHAnsi" w:hAnsiTheme="minorHAnsi" w:cstheme="minorHAnsi"/>
          <w:color w:val="auto"/>
          <w:sz w:val="22"/>
          <w:szCs w:val="22"/>
        </w:rPr>
        <w:t xml:space="preserve">; </w:t>
      </w:r>
      <w:r>
        <w:rPr>
          <w:rFonts w:asciiTheme="minorHAnsi" w:hAnsiTheme="minorHAnsi" w:cstheme="minorHAnsi"/>
          <w:color w:val="auto"/>
          <w:sz w:val="22"/>
          <w:szCs w:val="22"/>
        </w:rPr>
        <w:t>the GMO has</w:t>
      </w:r>
      <w:r w:rsidRPr="001F3378">
        <w:rPr>
          <w:rFonts w:asciiTheme="minorHAnsi" w:hAnsiTheme="minorHAnsi" w:cstheme="minorHAnsi"/>
          <w:color w:val="auto"/>
          <w:sz w:val="22"/>
          <w:szCs w:val="22"/>
        </w:rPr>
        <w:t xml:space="preserve"> </w:t>
      </w:r>
      <w:r>
        <w:rPr>
          <w:rFonts w:asciiTheme="minorHAnsi" w:hAnsiTheme="minorHAnsi" w:cstheme="minorHAnsi"/>
          <w:color w:val="auto"/>
          <w:sz w:val="22"/>
          <w:szCs w:val="22"/>
        </w:rPr>
        <w:t>limited ability to stimulate the immune response in healthy hosts and other animals; and the exposure to the GMO</w:t>
      </w:r>
      <w:r w:rsidRPr="001F3378">
        <w:rPr>
          <w:rFonts w:asciiTheme="minorHAnsi" w:hAnsiTheme="minorHAnsi" w:cstheme="minorHAnsi"/>
          <w:color w:val="auto"/>
          <w:sz w:val="22"/>
          <w:szCs w:val="22"/>
        </w:rPr>
        <w:t xml:space="preserve"> would be minimised by the</w:t>
      </w:r>
      <w:r>
        <w:rPr>
          <w:rFonts w:asciiTheme="minorHAnsi" w:hAnsiTheme="minorHAnsi" w:cstheme="minorHAnsi"/>
          <w:color w:val="auto"/>
          <w:sz w:val="22"/>
          <w:szCs w:val="22"/>
        </w:rPr>
        <w:t xml:space="preserve"> imposed</w:t>
      </w:r>
      <w:r w:rsidRPr="001F3378">
        <w:rPr>
          <w:rFonts w:asciiTheme="minorHAnsi" w:hAnsiTheme="minorHAnsi" w:cstheme="minorHAnsi"/>
          <w:color w:val="auto"/>
          <w:sz w:val="22"/>
          <w:szCs w:val="22"/>
        </w:rPr>
        <w:t xml:space="preserve"> limits and controls.</w:t>
      </w:r>
    </w:p>
    <w:p w:rsidR="008D6B51" w:rsidRPr="00502E3A" w:rsidRDefault="008D6B51" w:rsidP="008D6B51">
      <w:pPr>
        <w:pStyle w:val="Paranonumbers"/>
        <w:rPr>
          <w:rFonts w:asciiTheme="minorHAnsi" w:hAnsiTheme="minorHAnsi" w:cstheme="minorHAnsi"/>
          <w:sz w:val="22"/>
          <w:szCs w:val="22"/>
        </w:rPr>
      </w:pPr>
      <w:r w:rsidRPr="00502E3A">
        <w:rPr>
          <w:rFonts w:asciiTheme="minorHAnsi" w:hAnsiTheme="minorHAnsi" w:cstheme="minorHAnsi"/>
          <w:sz w:val="22"/>
          <w:szCs w:val="22"/>
        </w:rPr>
        <w:t>As risks to the health and safety of people, or the environment, from the proposed trial of the GM</w:t>
      </w:r>
      <w:r>
        <w:rPr>
          <w:rFonts w:asciiTheme="minorHAnsi" w:hAnsiTheme="minorHAnsi" w:cstheme="minorHAnsi"/>
          <w:sz w:val="22"/>
          <w:szCs w:val="22"/>
        </w:rPr>
        <w:t>O</w:t>
      </w:r>
      <w:r w:rsidRPr="00502E3A">
        <w:rPr>
          <w:rFonts w:asciiTheme="minorHAnsi" w:hAnsiTheme="minorHAnsi" w:cstheme="minorHAnsi"/>
          <w:sz w:val="22"/>
          <w:szCs w:val="22"/>
        </w:rPr>
        <w:t xml:space="preserve"> have been assessed as negligible, </w:t>
      </w:r>
      <w:r>
        <w:rPr>
          <w:rFonts w:asciiTheme="minorHAnsi" w:hAnsiTheme="minorHAnsi" w:cstheme="minorHAnsi"/>
          <w:sz w:val="22"/>
          <w:szCs w:val="22"/>
        </w:rPr>
        <w:t xml:space="preserve">as they </w:t>
      </w:r>
      <w:r w:rsidRPr="00502E3A">
        <w:rPr>
          <w:rFonts w:asciiTheme="minorHAnsi" w:hAnsiTheme="minorHAnsi" w:cstheme="minorHAnsi"/>
          <w:sz w:val="22"/>
          <w:szCs w:val="22"/>
        </w:rPr>
        <w:t>do not pose a significant risk to either people or the environment.</w:t>
      </w:r>
    </w:p>
    <w:p w:rsidR="008D6B51" w:rsidRPr="00B4169D" w:rsidRDefault="008D6B51" w:rsidP="008D6B51">
      <w:pPr>
        <w:pStyle w:val="Heading2"/>
        <w:rPr>
          <w:lang w:eastAsia="en-US"/>
        </w:rPr>
      </w:pPr>
      <w:bookmarkStart w:id="27" w:name="_Toc53666199"/>
      <w:bookmarkStart w:id="28" w:name="_Toc62034336"/>
      <w:r w:rsidRPr="00B4169D">
        <w:rPr>
          <w:rFonts w:asciiTheme="minorHAnsi" w:hAnsiTheme="minorHAnsi"/>
          <w:lang w:eastAsia="en-US"/>
        </w:rPr>
        <w:t>Risk management</w:t>
      </w:r>
      <w:bookmarkEnd w:id="21"/>
      <w:r w:rsidRPr="00B4169D">
        <w:rPr>
          <w:rFonts w:asciiTheme="minorHAnsi" w:hAnsiTheme="minorHAnsi"/>
          <w:lang w:eastAsia="en-US"/>
        </w:rPr>
        <w:t xml:space="preserve"> plan</w:t>
      </w:r>
      <w:bookmarkEnd w:id="22"/>
      <w:bookmarkEnd w:id="23"/>
      <w:bookmarkEnd w:id="24"/>
      <w:bookmarkEnd w:id="25"/>
      <w:bookmarkEnd w:id="26"/>
      <w:bookmarkEnd w:id="27"/>
      <w:bookmarkEnd w:id="28"/>
    </w:p>
    <w:p w:rsidR="008D6B51" w:rsidRPr="00961290" w:rsidRDefault="008D6B51" w:rsidP="008D6B51">
      <w:pPr>
        <w:rPr>
          <w:rFonts w:eastAsia="SimSun" w:cs="Times New Roman"/>
          <w:szCs w:val="22"/>
        </w:rPr>
      </w:pPr>
      <w:r w:rsidRPr="00961290">
        <w:rPr>
          <w:rFonts w:eastAsia="SimSun" w:cs="Times New Roman"/>
          <w:szCs w:val="22"/>
        </w:rPr>
        <w:t>The risk management plan describes measures to protect the health and safety of people and to protect the environment by controlling or mitigating risk. The risk management plan is given effect through licence conditions.</w:t>
      </w:r>
    </w:p>
    <w:p w:rsidR="00280050" w:rsidRDefault="008D6B51" w:rsidP="008D6B51">
      <w:r w:rsidRPr="00961290">
        <w:rPr>
          <w:rFonts w:eastAsia="SimSun" w:cs="Times New Roman"/>
          <w:szCs w:val="22"/>
        </w:rPr>
        <w:t>As the level of risk is considered negligible,</w:t>
      </w:r>
      <w:r w:rsidRPr="00961290" w:rsidDel="00DB4CC6">
        <w:rPr>
          <w:rFonts w:eastAsia="SimSun" w:cs="Times New Roman"/>
          <w:szCs w:val="22"/>
        </w:rPr>
        <w:t xml:space="preserve"> </w:t>
      </w:r>
      <w:r w:rsidRPr="00961290">
        <w:rPr>
          <w:rFonts w:eastAsia="SimSun" w:cs="Times New Roman"/>
          <w:szCs w:val="22"/>
        </w:rPr>
        <w:t xml:space="preserve">specific risk treatment is not required. However, since this is a </w:t>
      </w:r>
      <w:r>
        <w:rPr>
          <w:rFonts w:eastAsia="SimSun" w:cs="Times New Roman"/>
          <w:szCs w:val="22"/>
        </w:rPr>
        <w:t>clinical trial</w:t>
      </w:r>
      <w:r w:rsidRPr="00961290">
        <w:rPr>
          <w:rFonts w:eastAsia="SimSun" w:cs="Times New Roman"/>
          <w:szCs w:val="22"/>
        </w:rPr>
        <w:t xml:space="preserve">, the licence includes limits on the size, location and duration of the </w:t>
      </w:r>
      <w:r>
        <w:rPr>
          <w:rFonts w:eastAsia="SimSun" w:cs="Times New Roman"/>
          <w:szCs w:val="22"/>
        </w:rPr>
        <w:t>trial</w:t>
      </w:r>
      <w:r w:rsidRPr="00961290">
        <w:rPr>
          <w:rFonts w:eastAsia="SimSun" w:cs="Times New Roman"/>
          <w:szCs w:val="22"/>
        </w:rPr>
        <w:t>,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sectPr w:rsidR="00280050" w:rsidSect="00C26F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51" w:rsidRDefault="008D6B51" w:rsidP="008D6B51">
      <w:pPr>
        <w:spacing w:before="0" w:after="0"/>
      </w:pPr>
      <w:r>
        <w:separator/>
      </w:r>
    </w:p>
  </w:endnote>
  <w:endnote w:type="continuationSeparator" w:id="0">
    <w:p w:rsidR="008D6B51" w:rsidRDefault="008D6B51" w:rsidP="008D6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51" w:rsidRPr="008D6B51" w:rsidRDefault="008D6B51" w:rsidP="008D6B51">
    <w:pPr>
      <w:pBdr>
        <w:top w:val="single" w:sz="4" w:space="1" w:color="auto"/>
      </w:pBdr>
      <w:spacing w:before="0" w:after="160" w:line="259" w:lineRule="auto"/>
      <w:jc w:val="center"/>
      <w:rPr>
        <w:rFonts w:asciiTheme="minorHAnsi" w:hAnsiTheme="minorHAnsi" w:cstheme="minorHAnsi"/>
        <w:sz w:val="20"/>
        <w:szCs w:val="22"/>
        <w:lang w:eastAsia="en-US"/>
      </w:rPr>
    </w:pPr>
    <w:r w:rsidRPr="008D6B51">
      <w:rPr>
        <w:rFonts w:asciiTheme="minorHAnsi" w:hAnsiTheme="minorHAnsi" w:cstheme="minorHAnsi"/>
        <w:sz w:val="20"/>
        <w:szCs w:val="22"/>
        <w:lang w:eastAsia="en-US"/>
      </w:rPr>
      <w:t>Address: MDP 54 – GPO Box 9848, Canberra ACT 2601</w:t>
    </w:r>
    <w:r w:rsidRPr="008D6B51">
      <w:rPr>
        <w:rFonts w:asciiTheme="minorHAnsi" w:hAnsiTheme="minorHAnsi" w:cstheme="minorHAnsi"/>
        <w:sz w:val="20"/>
        <w:szCs w:val="22"/>
        <w:lang w:eastAsia="en-US"/>
      </w:rPr>
      <w:tab/>
      <w:t>Website: www.ogtr.gov.au</w:t>
    </w:r>
  </w:p>
  <w:p w:rsidR="008D6B51" w:rsidRPr="008D6B51" w:rsidRDefault="008D6B51" w:rsidP="008D6B51">
    <w:pPr>
      <w:spacing w:before="0" w:after="160" w:line="259" w:lineRule="auto"/>
      <w:jc w:val="center"/>
      <w:rPr>
        <w:rFonts w:asciiTheme="minorHAnsi" w:hAnsiTheme="minorHAnsi" w:cstheme="minorHAnsi"/>
        <w:sz w:val="24"/>
        <w:lang w:eastAsia="en-US"/>
      </w:rPr>
    </w:pPr>
    <w:r w:rsidRPr="008D6B51">
      <w:rPr>
        <w:rFonts w:asciiTheme="minorHAnsi" w:hAnsiTheme="minorHAnsi" w:cstheme="minorHAnsi"/>
        <w:sz w:val="20"/>
        <w:szCs w:val="22"/>
        <w:lang w:eastAsia="en-US"/>
      </w:rPr>
      <w:t>Telephone: 1800 181 030</w:t>
    </w:r>
    <w:r w:rsidRPr="008D6B51">
      <w:rPr>
        <w:rFonts w:asciiTheme="minorHAnsi" w:hAnsiTheme="minorHAnsi" w:cstheme="minorHAnsi"/>
        <w:sz w:val="20"/>
        <w:szCs w:val="22"/>
        <w:lang w:eastAsia="en-US"/>
      </w:rPr>
      <w:tab/>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51" w:rsidRDefault="008D6B51" w:rsidP="008D6B51">
      <w:pPr>
        <w:spacing w:before="0" w:after="0"/>
      </w:pPr>
      <w:r>
        <w:separator/>
      </w:r>
    </w:p>
  </w:footnote>
  <w:footnote w:type="continuationSeparator" w:id="0">
    <w:p w:rsidR="008D6B51" w:rsidRDefault="008D6B51" w:rsidP="008D6B51">
      <w:pPr>
        <w:spacing w:before="0" w:after="0"/>
      </w:pPr>
      <w:r>
        <w:continuationSeparator/>
      </w:r>
    </w:p>
  </w:footnote>
  <w:footnote w:id="1">
    <w:p w:rsidR="008D6B51" w:rsidRDefault="008D6B51" w:rsidP="008D6B51">
      <w:pPr>
        <w:tabs>
          <w:tab w:val="left" w:pos="900"/>
        </w:tabs>
      </w:pPr>
      <w:r>
        <w:rPr>
          <w:rStyle w:val="FootnoteReference"/>
        </w:rPr>
        <w:footnoteRef/>
      </w:r>
      <w:r>
        <w:t xml:space="preserve"> </w:t>
      </w:r>
      <w:r w:rsidRPr="008D6B51">
        <w:rPr>
          <w:rStyle w:val="FootnoteTextChar"/>
        </w:rPr>
        <w:t>The title of the project as submitted by the applicant was: ‘Clinical Trials with an Oncolytic Treatment Vaccine (CG0070)’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29D6F94"/>
    <w:multiLevelType w:val="hybridMultilevel"/>
    <w:tmpl w:val="B9A0C5EA"/>
    <w:lvl w:ilvl="0" w:tplc="21422C44">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51"/>
    <w:rsid w:val="00026352"/>
    <w:rsid w:val="000339C6"/>
    <w:rsid w:val="000B7346"/>
    <w:rsid w:val="000F1EE4"/>
    <w:rsid w:val="000F2812"/>
    <w:rsid w:val="001060BE"/>
    <w:rsid w:val="001235B0"/>
    <w:rsid w:val="001A7C99"/>
    <w:rsid w:val="00202C9B"/>
    <w:rsid w:val="00273503"/>
    <w:rsid w:val="00280050"/>
    <w:rsid w:val="002C0AC4"/>
    <w:rsid w:val="002C1792"/>
    <w:rsid w:val="002C1F4F"/>
    <w:rsid w:val="002D3E80"/>
    <w:rsid w:val="002E1ECC"/>
    <w:rsid w:val="002E4C63"/>
    <w:rsid w:val="002E6AB5"/>
    <w:rsid w:val="0031637A"/>
    <w:rsid w:val="00352B87"/>
    <w:rsid w:val="003539EA"/>
    <w:rsid w:val="003564AA"/>
    <w:rsid w:val="003A1BAA"/>
    <w:rsid w:val="003D5ED0"/>
    <w:rsid w:val="004103C7"/>
    <w:rsid w:val="0041670F"/>
    <w:rsid w:val="004222A0"/>
    <w:rsid w:val="00426ED9"/>
    <w:rsid w:val="00483115"/>
    <w:rsid w:val="004B1214"/>
    <w:rsid w:val="004C2BFC"/>
    <w:rsid w:val="004E6773"/>
    <w:rsid w:val="004F52D8"/>
    <w:rsid w:val="004F65BA"/>
    <w:rsid w:val="00577C80"/>
    <w:rsid w:val="00594509"/>
    <w:rsid w:val="005A1602"/>
    <w:rsid w:val="005B7E1C"/>
    <w:rsid w:val="0060021F"/>
    <w:rsid w:val="00641F9D"/>
    <w:rsid w:val="00686D26"/>
    <w:rsid w:val="00695CDB"/>
    <w:rsid w:val="006C131E"/>
    <w:rsid w:val="006C6E80"/>
    <w:rsid w:val="00771EAF"/>
    <w:rsid w:val="00787DC4"/>
    <w:rsid w:val="007A7D5F"/>
    <w:rsid w:val="007A7DAA"/>
    <w:rsid w:val="007B33B3"/>
    <w:rsid w:val="007B5EEE"/>
    <w:rsid w:val="007E3486"/>
    <w:rsid w:val="00826AEB"/>
    <w:rsid w:val="00833F98"/>
    <w:rsid w:val="00840DC4"/>
    <w:rsid w:val="00852643"/>
    <w:rsid w:val="008902D8"/>
    <w:rsid w:val="00892CE9"/>
    <w:rsid w:val="008A1B34"/>
    <w:rsid w:val="008D54D1"/>
    <w:rsid w:val="008D6B51"/>
    <w:rsid w:val="008F2310"/>
    <w:rsid w:val="00931E0C"/>
    <w:rsid w:val="009407A5"/>
    <w:rsid w:val="009458C1"/>
    <w:rsid w:val="009539BC"/>
    <w:rsid w:val="009830D6"/>
    <w:rsid w:val="009874B7"/>
    <w:rsid w:val="009A109C"/>
    <w:rsid w:val="009C7926"/>
    <w:rsid w:val="00A63E18"/>
    <w:rsid w:val="00A90181"/>
    <w:rsid w:val="00AA6CC0"/>
    <w:rsid w:val="00AC4591"/>
    <w:rsid w:val="00B061E4"/>
    <w:rsid w:val="00B13102"/>
    <w:rsid w:val="00B73D84"/>
    <w:rsid w:val="00B92141"/>
    <w:rsid w:val="00BA17A7"/>
    <w:rsid w:val="00BB54C0"/>
    <w:rsid w:val="00BC2731"/>
    <w:rsid w:val="00BC4A4F"/>
    <w:rsid w:val="00BE195A"/>
    <w:rsid w:val="00BE4709"/>
    <w:rsid w:val="00BF7EB1"/>
    <w:rsid w:val="00C22B0C"/>
    <w:rsid w:val="00C26F61"/>
    <w:rsid w:val="00C54E80"/>
    <w:rsid w:val="00C93CDB"/>
    <w:rsid w:val="00CB501B"/>
    <w:rsid w:val="00CE54AF"/>
    <w:rsid w:val="00D04AFA"/>
    <w:rsid w:val="00D471DF"/>
    <w:rsid w:val="00D6456E"/>
    <w:rsid w:val="00D74AD0"/>
    <w:rsid w:val="00DC3EA4"/>
    <w:rsid w:val="00E4709B"/>
    <w:rsid w:val="00E651E2"/>
    <w:rsid w:val="00EC0A19"/>
    <w:rsid w:val="00EC7FA7"/>
    <w:rsid w:val="00EF0147"/>
    <w:rsid w:val="00EF2A66"/>
    <w:rsid w:val="00F14D6C"/>
    <w:rsid w:val="00F508DF"/>
    <w:rsid w:val="00F532BB"/>
    <w:rsid w:val="00F72003"/>
    <w:rsid w:val="00FC5084"/>
    <w:rsid w:val="00FE0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5C4A333-B498-4E3B-94BE-E7DF53F7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D6B51"/>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8D6B51"/>
    <w:pPr>
      <w:keepNext/>
      <w:keepLines/>
      <w:spacing w:before="24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nhideWhenUsed/>
    <w:qFormat/>
    <w:rsid w:val="008D6B51"/>
    <w:pPr>
      <w:spacing w:before="200" w:after="0"/>
      <w:outlineLvl w:val="1"/>
    </w:pPr>
    <w:rPr>
      <w:rFonts w:ascii="Arial" w:hAnsi="Arial" w:cs="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B51"/>
    <w:rPr>
      <w:rFonts w:asciiTheme="minorHAnsi" w:eastAsia="Times New Roman" w:hAnsiTheme="minorHAnsi" w:cstheme="majorBidi"/>
      <w:b/>
      <w:bCs/>
      <w:i/>
      <w:sz w:val="28"/>
      <w:szCs w:val="28"/>
      <w:lang w:eastAsia="en-AU"/>
    </w:rPr>
  </w:style>
  <w:style w:type="character" w:customStyle="1" w:styleId="Heading2Char">
    <w:name w:val="Heading 2 Char"/>
    <w:basedOn w:val="DefaultParagraphFont"/>
    <w:link w:val="Heading2"/>
    <w:rsid w:val="008D6B51"/>
    <w:rPr>
      <w:rFonts w:ascii="Arial" w:hAnsi="Arial" w:cs="Arial"/>
      <w:b/>
      <w:i/>
      <w:sz w:val="28"/>
      <w:lang w:eastAsia="en-AU"/>
    </w:rPr>
  </w:style>
  <w:style w:type="character" w:customStyle="1" w:styleId="FootnoteTextChar">
    <w:name w:val="Footnote Text Char"/>
    <w:basedOn w:val="DefaultParagraphFont"/>
    <w:link w:val="FootnoteText"/>
    <w:rsid w:val="008D6B51"/>
    <w:rPr>
      <w:sz w:val="20"/>
      <w:szCs w:val="20"/>
    </w:rPr>
  </w:style>
  <w:style w:type="character" w:styleId="Hyperlink">
    <w:name w:val="Hyperlink"/>
    <w:basedOn w:val="DefaultParagraphFont"/>
    <w:uiPriority w:val="99"/>
    <w:unhideWhenUsed/>
    <w:rsid w:val="008D6B51"/>
    <w:rPr>
      <w:color w:val="0563C1" w:themeColor="hyperlink"/>
      <w:u w:val="single"/>
    </w:rPr>
  </w:style>
  <w:style w:type="character" w:styleId="FootnoteReference">
    <w:name w:val="footnote reference"/>
    <w:rsid w:val="008D6B51"/>
    <w:rPr>
      <w:vertAlign w:val="superscript"/>
    </w:rPr>
  </w:style>
  <w:style w:type="paragraph" w:styleId="FootnoteText">
    <w:name w:val="footnote text"/>
    <w:basedOn w:val="Normal"/>
    <w:link w:val="FootnoteTextChar"/>
    <w:rsid w:val="008D6B51"/>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99"/>
    <w:semiHidden/>
    <w:rsid w:val="008D6B51"/>
    <w:rPr>
      <w:rFonts w:ascii="Calibri" w:hAnsi="Calibri" w:cstheme="minorBidi"/>
      <w:sz w:val="20"/>
      <w:szCs w:val="20"/>
      <w:lang w:eastAsia="en-AU"/>
    </w:rPr>
  </w:style>
  <w:style w:type="paragraph" w:customStyle="1" w:styleId="RIGHTLIST">
    <w:name w:val="RIGHTLIST"/>
    <w:basedOn w:val="LEFTLIST"/>
    <w:rsid w:val="008D6B51"/>
    <w:rPr>
      <w:rFonts w:ascii="Times New Roman" w:hAnsi="Times New Roman" w:cs="Times New Roman"/>
      <w:b w:val="0"/>
      <w:bCs w:val="0"/>
    </w:rPr>
  </w:style>
  <w:style w:type="paragraph" w:customStyle="1" w:styleId="LEFTLIST">
    <w:name w:val="LEFTLIST"/>
    <w:basedOn w:val="Heading1"/>
    <w:rsid w:val="008D6B51"/>
    <w:pPr>
      <w:keepLines w:val="0"/>
      <w:tabs>
        <w:tab w:val="right" w:leader="dot" w:pos="9356"/>
      </w:tabs>
      <w:spacing w:before="80" w:after="40"/>
      <w:outlineLvl w:val="9"/>
    </w:pPr>
    <w:rPr>
      <w:rFonts w:ascii="Arial Narrow" w:hAnsi="Arial Narrow" w:cs="Arial Narrow"/>
      <w:i w:val="0"/>
      <w:sz w:val="22"/>
      <w:szCs w:val="22"/>
    </w:rPr>
  </w:style>
  <w:style w:type="paragraph" w:customStyle="1" w:styleId="Paranonumbers">
    <w:name w:val="Para no numbers"/>
    <w:basedOn w:val="Normal"/>
    <w:link w:val="ParanonumbersChar"/>
    <w:qFormat/>
    <w:rsid w:val="008D6B51"/>
    <w:rPr>
      <w:rFonts w:ascii="Times New Roman" w:eastAsiaTheme="minorEastAsia" w:hAnsi="Times New Roman" w:cs="Times New Roman"/>
      <w:sz w:val="24"/>
    </w:rPr>
  </w:style>
  <w:style w:type="character" w:customStyle="1" w:styleId="ParanonumbersChar">
    <w:name w:val="Para no numbers Char"/>
    <w:link w:val="Paranonumbers"/>
    <w:locked/>
    <w:rsid w:val="008D6B51"/>
    <w:rPr>
      <w:rFonts w:eastAsiaTheme="minorEastAsia"/>
      <w:lang w:eastAsia="en-AU"/>
    </w:rPr>
  </w:style>
  <w:style w:type="paragraph" w:customStyle="1" w:styleId="Body">
    <w:name w:val="Body"/>
    <w:rsid w:val="008D6B51"/>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customStyle="1" w:styleId="Arrow">
    <w:name w:val="Arrow"/>
    <w:basedOn w:val="Normal"/>
    <w:rsid w:val="008D6B51"/>
    <w:pPr>
      <w:numPr>
        <w:numId w:val="2"/>
      </w:numPr>
      <w:spacing w:before="0" w:after="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D6B51"/>
    <w:pPr>
      <w:tabs>
        <w:tab w:val="center" w:pos="4513"/>
        <w:tab w:val="right" w:pos="9026"/>
      </w:tabs>
      <w:spacing w:before="0" w:after="0"/>
    </w:pPr>
  </w:style>
  <w:style w:type="character" w:customStyle="1" w:styleId="HeaderChar">
    <w:name w:val="Header Char"/>
    <w:basedOn w:val="DefaultParagraphFont"/>
    <w:link w:val="Header"/>
    <w:uiPriority w:val="99"/>
    <w:rsid w:val="008D6B51"/>
    <w:rPr>
      <w:rFonts w:ascii="Calibri" w:hAnsi="Calibri" w:cstheme="minorBidi"/>
      <w:sz w:val="22"/>
      <w:lang w:eastAsia="en-AU"/>
    </w:rPr>
  </w:style>
  <w:style w:type="paragraph" w:styleId="Footer">
    <w:name w:val="footer"/>
    <w:basedOn w:val="Normal"/>
    <w:link w:val="FooterChar"/>
    <w:uiPriority w:val="99"/>
    <w:unhideWhenUsed/>
    <w:rsid w:val="008D6B51"/>
    <w:pPr>
      <w:tabs>
        <w:tab w:val="center" w:pos="4513"/>
        <w:tab w:val="right" w:pos="9026"/>
      </w:tabs>
      <w:spacing w:before="0" w:after="0"/>
    </w:pPr>
  </w:style>
  <w:style w:type="character" w:customStyle="1" w:styleId="FooterChar">
    <w:name w:val="Footer Char"/>
    <w:basedOn w:val="DefaultParagraphFont"/>
    <w:link w:val="Footer"/>
    <w:uiPriority w:val="99"/>
    <w:rsid w:val="008D6B51"/>
    <w:rPr>
      <w:rFonts w:ascii="Calibri" w:hAnsi="Calibri" w:cstheme="minorBidi"/>
      <w:sz w:val="22"/>
      <w:lang w:eastAsia="en-AU"/>
    </w:rPr>
  </w:style>
  <w:style w:type="character" w:styleId="PlaceholderText">
    <w:name w:val="Placeholder Text"/>
    <w:basedOn w:val="DefaultParagraphFont"/>
    <w:uiPriority w:val="99"/>
    <w:semiHidden/>
    <w:rsid w:val="008D6B51"/>
    <w:rPr>
      <w:color w:val="808080"/>
    </w:rPr>
  </w:style>
  <w:style w:type="table" w:styleId="TableGrid">
    <w:name w:val="Table Grid"/>
    <w:basedOn w:val="TableNormal"/>
    <w:uiPriority w:val="39"/>
    <w:rsid w:val="001A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A7C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A7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ga.gov.au/publication/note-guidance-good-clinic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5458</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177 - Summary of Risk Assessment and Risk Management Plan</dc:title>
  <dc:subject/>
  <dc:creator>OGTR.Voicemail@health.gov.au</dc:creator>
  <cp:keywords/>
  <dc:description/>
  <cp:lastModifiedBy>SMITH, Justine</cp:lastModifiedBy>
  <cp:revision>2</cp:revision>
  <dcterms:created xsi:type="dcterms:W3CDTF">2021-01-28T04:38:00Z</dcterms:created>
  <dcterms:modified xsi:type="dcterms:W3CDTF">2021-01-28T04:38:00Z</dcterms:modified>
</cp:coreProperties>
</file>