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EA6" w:rsidRPr="0000143A" w:rsidRDefault="008A1EA6" w:rsidP="0009657C">
      <w:pPr>
        <w:pStyle w:val="Heading1"/>
      </w:pPr>
      <w:bookmarkStart w:id="0" w:name="_Toc47536733"/>
      <w:bookmarkStart w:id="1" w:name="_Toc73427546"/>
      <w:bookmarkStart w:id="2" w:name="_Toc174765844"/>
      <w:bookmarkStart w:id="3" w:name="_Toc167164262"/>
      <w:bookmarkStart w:id="4" w:name="_Toc198434571"/>
      <w:bookmarkStart w:id="5" w:name="_Toc259790166"/>
      <w:bookmarkStart w:id="6" w:name="_Toc236620543"/>
      <w:bookmarkStart w:id="7" w:name="_Toc209859545"/>
      <w:bookmarkStart w:id="8" w:name="_Toc342042133"/>
      <w:bookmarkStart w:id="9" w:name="_Toc347392001"/>
      <w:bookmarkStart w:id="10" w:name="_GoBack"/>
      <w:bookmarkEnd w:id="10"/>
      <w:r w:rsidRPr="0000143A">
        <w:t>Summary of the Risk Assessment and Risk Management Plan</w:t>
      </w:r>
      <w:bookmarkEnd w:id="0"/>
      <w:bookmarkEnd w:id="1"/>
    </w:p>
    <w:p w:rsidR="008A1EA6" w:rsidRPr="0000143A" w:rsidRDefault="008A1EA6" w:rsidP="0009657C">
      <w:pPr>
        <w:keepNext/>
        <w:ind w:right="-188"/>
        <w:jc w:val="center"/>
        <w:rPr>
          <w:rFonts w:cs="Arial"/>
          <w:b/>
          <w:bCs/>
          <w:kern w:val="32"/>
          <w:sz w:val="28"/>
          <w:szCs w:val="28"/>
          <w:lang w:eastAsia="en-US"/>
        </w:rPr>
      </w:pPr>
      <w:proofErr w:type="gramStart"/>
      <w:r w:rsidRPr="0000143A">
        <w:rPr>
          <w:rFonts w:cs="Arial"/>
          <w:b/>
          <w:bCs/>
          <w:kern w:val="32"/>
          <w:sz w:val="28"/>
          <w:szCs w:val="28"/>
          <w:lang w:eastAsia="en-US"/>
        </w:rPr>
        <w:t>for</w:t>
      </w:r>
      <w:proofErr w:type="gramEnd"/>
    </w:p>
    <w:p w:rsidR="008A1EA6" w:rsidRPr="00F736DB" w:rsidRDefault="008A1EA6" w:rsidP="0009657C">
      <w:pPr>
        <w:keepNext/>
        <w:ind w:right="-188"/>
        <w:jc w:val="center"/>
        <w:rPr>
          <w:rFonts w:cs="Arial"/>
          <w:b/>
          <w:bCs/>
          <w:kern w:val="32"/>
          <w:sz w:val="36"/>
          <w:szCs w:val="36"/>
          <w:lang w:eastAsia="en-US"/>
        </w:rPr>
      </w:pPr>
      <w:r w:rsidRPr="0000143A">
        <w:rPr>
          <w:rFonts w:cs="Arial"/>
          <w:b/>
          <w:bCs/>
          <w:kern w:val="32"/>
          <w:sz w:val="36"/>
          <w:szCs w:val="36"/>
          <w:lang w:eastAsia="en-US"/>
        </w:rPr>
        <w:t xml:space="preserve">Licence </w:t>
      </w:r>
      <w:r>
        <w:rPr>
          <w:rFonts w:cs="Arial"/>
          <w:b/>
          <w:bCs/>
          <w:kern w:val="32"/>
          <w:sz w:val="36"/>
          <w:szCs w:val="36"/>
          <w:lang w:eastAsia="en-US"/>
        </w:rPr>
        <w:t xml:space="preserve">Application DIR </w:t>
      </w:r>
      <w:r w:rsidRPr="002E7944">
        <w:rPr>
          <w:rFonts w:cs="Arial"/>
          <w:b/>
          <w:bCs/>
          <w:kern w:val="32"/>
          <w:sz w:val="36"/>
          <w:szCs w:val="36"/>
          <w:lang w:eastAsia="en-US"/>
        </w:rPr>
        <w:t>184</w:t>
      </w:r>
    </w:p>
    <w:p w:rsidR="008A1EA6" w:rsidRPr="00F736DB" w:rsidRDefault="008A1EA6" w:rsidP="0009657C">
      <w:pPr>
        <w:pStyle w:val="Heading2"/>
        <w:numPr>
          <w:ilvl w:val="0"/>
          <w:numId w:val="0"/>
        </w:numPr>
        <w:ind w:right="-188"/>
        <w:rPr>
          <w:lang w:eastAsia="en-US"/>
        </w:rPr>
      </w:pPr>
      <w:bookmarkStart w:id="11" w:name="_Toc73427547"/>
      <w:r>
        <w:rPr>
          <w:lang w:eastAsia="en-US"/>
        </w:rPr>
        <w:t>Decision</w:t>
      </w:r>
      <w:bookmarkEnd w:id="11"/>
    </w:p>
    <w:bookmarkEnd w:id="2"/>
    <w:bookmarkEnd w:id="3"/>
    <w:bookmarkEnd w:id="4"/>
    <w:bookmarkEnd w:id="5"/>
    <w:bookmarkEnd w:id="6"/>
    <w:bookmarkEnd w:id="7"/>
    <w:bookmarkEnd w:id="8"/>
    <w:bookmarkEnd w:id="9"/>
    <w:p w:rsidR="008A1EA6" w:rsidRPr="006620D3" w:rsidRDefault="008A1EA6" w:rsidP="0009657C">
      <w:pPr>
        <w:ind w:right="-188"/>
      </w:pPr>
      <w:r w:rsidRPr="00A50A71">
        <w:t>The Gene Technology Regulator (the Regulator</w:t>
      </w:r>
      <w:r w:rsidRPr="00F736DB">
        <w:t xml:space="preserve">) has </w:t>
      </w:r>
      <w:r w:rsidRPr="006620D3">
        <w:t xml:space="preserve">received a licence application </w:t>
      </w:r>
      <w:r>
        <w:t xml:space="preserve">to conduct a clinical trial using </w:t>
      </w:r>
      <w:r w:rsidRPr="006620D3">
        <w:t xml:space="preserve">a genetically modified (GM) COVID-19 vaccine. </w:t>
      </w:r>
      <w:r>
        <w:t xml:space="preserve">It qualifies </w:t>
      </w:r>
      <w:r w:rsidRPr="006620D3">
        <w:t>as Dealings involving the Intentional Release (DIR) of genetically modified organisms into the Australian environment under the</w:t>
      </w:r>
      <w:r w:rsidRPr="006620D3">
        <w:rPr>
          <w:i/>
        </w:rPr>
        <w:t xml:space="preserve"> Gene Technology Act 2000</w:t>
      </w:r>
      <w:r w:rsidRPr="006620D3">
        <w:t xml:space="preserve">. </w:t>
      </w:r>
    </w:p>
    <w:p w:rsidR="008A1EA6" w:rsidRPr="006620D3" w:rsidRDefault="008A1EA6" w:rsidP="0009657C">
      <w:pPr>
        <w:ind w:right="-188"/>
      </w:pPr>
      <w:r w:rsidRPr="006620D3">
        <w:t xml:space="preserve">The applicant, </w:t>
      </w:r>
      <w:proofErr w:type="spellStart"/>
      <w:r w:rsidRPr="006620D3">
        <w:t>Avance</w:t>
      </w:r>
      <w:proofErr w:type="spellEnd"/>
      <w:r w:rsidRPr="006620D3">
        <w:t xml:space="preserve"> Clinical Pty Ltd (</w:t>
      </w:r>
      <w:proofErr w:type="spellStart"/>
      <w:r w:rsidRPr="006620D3">
        <w:t>Avance</w:t>
      </w:r>
      <w:proofErr w:type="spellEnd"/>
      <w:r w:rsidRPr="006620D3">
        <w:t>) proposes to conduct a clinical trial to evaluate the safety and tolerability of genetically modified human adenovirus serotype 6 (HAdV-C6) as a GM vaccine to treat COVID-19 in adults.</w:t>
      </w:r>
      <w:r>
        <w:t xml:space="preserve"> This clinical trial involves the intranasal administration of the GM vaccine, which is different to the intramuscular (IM) administration of current COVID-19 vaccines.</w:t>
      </w:r>
    </w:p>
    <w:p w:rsidR="008A1EA6" w:rsidRDefault="008A1EA6" w:rsidP="0009657C">
      <w:pPr>
        <w:ind w:right="-188"/>
      </w:pPr>
      <w:r>
        <w:rPr>
          <w:szCs w:val="22"/>
        </w:rPr>
        <w:t>Severe acute respiratory syndrome coronavirus 2 (</w:t>
      </w:r>
      <w:r w:rsidRPr="00E52B4D">
        <w:rPr>
          <w:szCs w:val="22"/>
        </w:rPr>
        <w:t>SARS-CoV-2</w:t>
      </w:r>
      <w:r>
        <w:rPr>
          <w:szCs w:val="22"/>
        </w:rPr>
        <w:t>)</w:t>
      </w:r>
      <w:r w:rsidRPr="00E52B4D">
        <w:rPr>
          <w:szCs w:val="22"/>
        </w:rPr>
        <w:t xml:space="preserve"> is a novel coronavirus discovered in December 2019 in Wuhan, China and is the cause of the COVID-19 disease. </w:t>
      </w:r>
      <w:r>
        <w:rPr>
          <w:szCs w:val="22"/>
        </w:rPr>
        <w:t xml:space="preserve">The </w:t>
      </w:r>
      <w:r w:rsidRPr="00E52B4D">
        <w:rPr>
          <w:szCs w:val="22"/>
        </w:rPr>
        <w:t>World Health Organi</w:t>
      </w:r>
      <w:r>
        <w:rPr>
          <w:szCs w:val="22"/>
        </w:rPr>
        <w:t>z</w:t>
      </w:r>
      <w:r w:rsidRPr="00E52B4D">
        <w:rPr>
          <w:szCs w:val="22"/>
        </w:rPr>
        <w:t xml:space="preserve">ation </w:t>
      </w:r>
      <w:r>
        <w:rPr>
          <w:szCs w:val="22"/>
        </w:rPr>
        <w:t>(WHO) declared</w:t>
      </w:r>
      <w:r w:rsidRPr="00E52B4D">
        <w:rPr>
          <w:szCs w:val="22"/>
        </w:rPr>
        <w:t xml:space="preserve"> the outbreak </w:t>
      </w:r>
      <w:r>
        <w:rPr>
          <w:szCs w:val="22"/>
        </w:rPr>
        <w:t xml:space="preserve">a </w:t>
      </w:r>
      <w:r w:rsidRPr="00E52B4D">
        <w:rPr>
          <w:szCs w:val="22"/>
        </w:rPr>
        <w:t>pandemic on 11</w:t>
      </w:r>
      <w:r w:rsidRPr="00E52B4D">
        <w:rPr>
          <w:szCs w:val="22"/>
          <w:vertAlign w:val="superscript"/>
        </w:rPr>
        <w:t>th</w:t>
      </w:r>
      <w:r w:rsidRPr="00E52B4D">
        <w:rPr>
          <w:szCs w:val="22"/>
        </w:rPr>
        <w:t xml:space="preserve"> March 2020</w:t>
      </w:r>
      <w:r>
        <w:rPr>
          <w:szCs w:val="22"/>
        </w:rPr>
        <w:t xml:space="preserve"> and as of 14</w:t>
      </w:r>
      <w:r w:rsidRPr="00414B51">
        <w:rPr>
          <w:szCs w:val="22"/>
          <w:vertAlign w:val="superscript"/>
        </w:rPr>
        <w:t>th</w:t>
      </w:r>
      <w:r>
        <w:rPr>
          <w:szCs w:val="22"/>
        </w:rPr>
        <w:t xml:space="preserve"> June 2021, there have been over 3.8 million deaths reported worldwide. </w:t>
      </w:r>
      <w:r>
        <w:t xml:space="preserve"> </w:t>
      </w:r>
    </w:p>
    <w:p w:rsidR="008A1EA6" w:rsidRPr="00414B51" w:rsidRDefault="008A1EA6" w:rsidP="0009657C">
      <w:pPr>
        <w:ind w:right="-188"/>
      </w:pPr>
      <w:r w:rsidRPr="00414B51">
        <w:t xml:space="preserve">Clinical trials in Australia are conducted in accordance with requirements of the </w:t>
      </w:r>
      <w:r w:rsidRPr="00414B51">
        <w:rPr>
          <w:i/>
        </w:rPr>
        <w:t>Therapeutic Goods Act 1989</w:t>
      </w:r>
      <w:r w:rsidRPr="00414B51">
        <w:t xml:space="preserve">, which is administered by the Therapeutic Goods Administration (TGA). Therefore, in addition to approval by the Regulator, </w:t>
      </w:r>
      <w:proofErr w:type="spellStart"/>
      <w:r>
        <w:t>Avance</w:t>
      </w:r>
      <w:proofErr w:type="spellEnd"/>
      <w:r w:rsidRPr="00414B51">
        <w:t xml:space="preserve"> </w:t>
      </w:r>
      <w:r>
        <w:t>will</w:t>
      </w:r>
      <w:r w:rsidRPr="00414B51">
        <w:t xml:space="preserve"> require authorisation from TGA before the trial commences. Clinical trials conducted in Australia must also be conducted in accordance with the </w:t>
      </w:r>
      <w:hyperlink r:id="rId7" w:history="1">
        <w:r w:rsidRPr="00414B51">
          <w:rPr>
            <w:rStyle w:val="Hyperlink"/>
          </w:rPr>
          <w:t>National Statement on Ethical Conduct in Human Research</w:t>
        </w:r>
      </w:hyperlink>
      <w:r w:rsidRPr="00414B51">
        <w:rPr>
          <w:i/>
        </w:rPr>
        <w:t xml:space="preserve"> </w:t>
      </w:r>
      <w:r w:rsidRPr="00414B51">
        <w:t xml:space="preserve">and with the </w:t>
      </w:r>
      <w:hyperlink r:id="rId8" w:history="1">
        <w:r w:rsidRPr="00414B51">
          <w:rPr>
            <w:rStyle w:val="Hyperlink"/>
          </w:rPr>
          <w:t>Guidelines for Good Clinical Practice</w:t>
        </w:r>
      </w:hyperlink>
      <w:r w:rsidRPr="00414B51">
        <w:t xml:space="preserve"> of the International Council for Harmonisation of Technical Requirements for Registration of Pharmaceuticals for Human Use.</w:t>
      </w:r>
    </w:p>
    <w:p w:rsidR="008A1EA6" w:rsidRPr="00414B51" w:rsidRDefault="008A1EA6" w:rsidP="0009657C">
      <w:pPr>
        <w:ind w:right="-188"/>
      </w:pPr>
      <w:proofErr w:type="spellStart"/>
      <w:r>
        <w:t>Avance</w:t>
      </w:r>
      <w:proofErr w:type="spellEnd"/>
      <w:r w:rsidRPr="00414B51">
        <w:t xml:space="preserve"> </w:t>
      </w:r>
      <w:r>
        <w:t>will</w:t>
      </w:r>
      <w:r w:rsidRPr="00414B51">
        <w:t xml:space="preserve"> also require approval from the Department of Agriculture, Water and the Environment for import of the GMO.</w:t>
      </w:r>
    </w:p>
    <w:p w:rsidR="008220EE" w:rsidRDefault="008A1EA6" w:rsidP="0009657C">
      <w:pPr>
        <w:ind w:right="-188"/>
      </w:pPr>
      <w:r w:rsidRPr="0000143A">
        <w:t xml:space="preserve">The Regulator has prepared a Risk Assessment and Risk Management Plan (RARMP) for this application, which concludes that the proposed </w:t>
      </w:r>
      <w:r>
        <w:t>supply of the GM vaccine</w:t>
      </w:r>
      <w:r w:rsidRPr="0000143A">
        <w:t xml:space="preserve"> poses </w:t>
      </w:r>
      <w:r w:rsidRPr="000A2F5B">
        <w:t>negligible</w:t>
      </w:r>
      <w:r w:rsidRPr="0000143A">
        <w:t xml:space="preserve"> risks to human health and safety and the environment</w:t>
      </w:r>
      <w:r>
        <w:t>, and that any risks posed by the dealings can be managed by imposing conditions on the clinical trial</w:t>
      </w:r>
      <w:r w:rsidRPr="0000143A">
        <w:t xml:space="preserve">. </w:t>
      </w:r>
      <w:bookmarkStart w:id="12" w:name="_Toc342042135"/>
      <w:bookmarkStart w:id="13" w:name="_Toc47536735"/>
      <w:bookmarkStart w:id="14" w:name="_Toc291151777"/>
      <w:bookmarkStart w:id="15" w:name="_Toc274904727"/>
      <w:bookmarkStart w:id="16" w:name="_Toc209859548"/>
    </w:p>
    <w:p w:rsidR="008A1EA6" w:rsidRPr="00DB5481" w:rsidRDefault="008A1EA6" w:rsidP="0009657C">
      <w:pPr>
        <w:pStyle w:val="Heading2"/>
        <w:numPr>
          <w:ilvl w:val="0"/>
          <w:numId w:val="0"/>
        </w:numPr>
        <w:ind w:right="-188"/>
      </w:pPr>
      <w:bookmarkStart w:id="17" w:name="_Toc73427548"/>
      <w:r w:rsidRPr="0000143A">
        <w:t>The application</w:t>
      </w:r>
      <w:bookmarkEnd w:id="12"/>
      <w:bookmarkEnd w:id="13"/>
      <w:bookmarkEnd w:id="17"/>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his table provides information about the licence application at a glance. The table has nine rows, one each for Application Number, Applicant, Project title, Parent organism, Introduced gene and modified trait, Previous releases, Current approvals, Proposed locations, and Primary Purpose."/>
      </w:tblPr>
      <w:tblGrid>
        <w:gridCol w:w="2263"/>
        <w:gridCol w:w="7230"/>
      </w:tblGrid>
      <w:tr w:rsidR="008A1EA6" w:rsidRPr="0000143A" w:rsidTr="0009657C">
        <w:tc>
          <w:tcPr>
            <w:tcW w:w="2263" w:type="dxa"/>
            <w:tcBorders>
              <w:top w:val="single" w:sz="4" w:space="0" w:color="auto"/>
              <w:left w:val="single" w:sz="4" w:space="0" w:color="auto"/>
              <w:bottom w:val="single" w:sz="4" w:space="0" w:color="auto"/>
              <w:right w:val="single" w:sz="4" w:space="0" w:color="auto"/>
            </w:tcBorders>
            <w:hideMark/>
          </w:tcPr>
          <w:p w:rsidR="008A1EA6" w:rsidRPr="007A29DB" w:rsidRDefault="008A1EA6" w:rsidP="0009657C">
            <w:pPr>
              <w:spacing w:before="60" w:after="60"/>
              <w:ind w:right="-188"/>
              <w:rPr>
                <w:b/>
              </w:rPr>
            </w:pPr>
            <w:r w:rsidRPr="007A29DB">
              <w:rPr>
                <w:b/>
              </w:rPr>
              <w:t>Application number</w:t>
            </w:r>
          </w:p>
        </w:tc>
        <w:tc>
          <w:tcPr>
            <w:tcW w:w="7230" w:type="dxa"/>
            <w:tcBorders>
              <w:top w:val="single" w:sz="4" w:space="0" w:color="auto"/>
              <w:left w:val="single" w:sz="4" w:space="0" w:color="auto"/>
              <w:bottom w:val="single" w:sz="4" w:space="0" w:color="auto"/>
              <w:right w:val="single" w:sz="4" w:space="0" w:color="auto"/>
            </w:tcBorders>
          </w:tcPr>
          <w:p w:rsidR="008A1EA6" w:rsidRPr="00D679D8" w:rsidRDefault="008A1EA6" w:rsidP="0009657C">
            <w:pPr>
              <w:spacing w:before="60" w:after="60"/>
              <w:ind w:right="-188"/>
            </w:pPr>
            <w:r>
              <w:t>DIR-184</w:t>
            </w:r>
          </w:p>
        </w:tc>
      </w:tr>
      <w:tr w:rsidR="008A1EA6" w:rsidRPr="0000143A" w:rsidTr="0009657C">
        <w:tc>
          <w:tcPr>
            <w:tcW w:w="2263" w:type="dxa"/>
            <w:tcBorders>
              <w:top w:val="single" w:sz="4" w:space="0" w:color="auto"/>
              <w:left w:val="single" w:sz="4" w:space="0" w:color="auto"/>
              <w:bottom w:val="single" w:sz="4" w:space="0" w:color="auto"/>
              <w:right w:val="single" w:sz="4" w:space="0" w:color="auto"/>
            </w:tcBorders>
            <w:hideMark/>
          </w:tcPr>
          <w:p w:rsidR="008A1EA6" w:rsidRPr="007A29DB" w:rsidRDefault="008A1EA6" w:rsidP="0009657C">
            <w:pPr>
              <w:spacing w:before="60" w:after="60"/>
              <w:ind w:right="-188"/>
              <w:rPr>
                <w:b/>
              </w:rPr>
            </w:pPr>
            <w:r w:rsidRPr="007A29DB">
              <w:rPr>
                <w:b/>
              </w:rPr>
              <w:t>Applicant</w:t>
            </w:r>
          </w:p>
        </w:tc>
        <w:tc>
          <w:tcPr>
            <w:tcW w:w="7230" w:type="dxa"/>
            <w:tcBorders>
              <w:top w:val="single" w:sz="4" w:space="0" w:color="auto"/>
              <w:left w:val="single" w:sz="4" w:space="0" w:color="auto"/>
              <w:bottom w:val="single" w:sz="4" w:space="0" w:color="auto"/>
              <w:right w:val="single" w:sz="4" w:space="0" w:color="auto"/>
            </w:tcBorders>
          </w:tcPr>
          <w:p w:rsidR="008A1EA6" w:rsidRPr="00D679D8" w:rsidRDefault="008A1EA6" w:rsidP="0009657C">
            <w:pPr>
              <w:spacing w:before="60" w:after="60"/>
              <w:ind w:right="-188"/>
            </w:pPr>
            <w:proofErr w:type="spellStart"/>
            <w:r>
              <w:t>Avance</w:t>
            </w:r>
            <w:proofErr w:type="spellEnd"/>
            <w:r>
              <w:t xml:space="preserve"> Clinical Pty Ltd</w:t>
            </w:r>
          </w:p>
        </w:tc>
      </w:tr>
      <w:tr w:rsidR="008A1EA6" w:rsidRPr="0000143A" w:rsidTr="0009657C">
        <w:tc>
          <w:tcPr>
            <w:tcW w:w="2263" w:type="dxa"/>
            <w:tcBorders>
              <w:top w:val="single" w:sz="4" w:space="0" w:color="auto"/>
              <w:left w:val="single" w:sz="4" w:space="0" w:color="auto"/>
              <w:bottom w:val="single" w:sz="4" w:space="0" w:color="auto"/>
              <w:right w:val="single" w:sz="4" w:space="0" w:color="auto"/>
            </w:tcBorders>
            <w:hideMark/>
          </w:tcPr>
          <w:p w:rsidR="008A1EA6" w:rsidRPr="007A29DB" w:rsidRDefault="008A1EA6" w:rsidP="0009657C">
            <w:pPr>
              <w:spacing w:before="60" w:after="60"/>
              <w:ind w:right="-188"/>
              <w:rPr>
                <w:b/>
              </w:rPr>
            </w:pPr>
            <w:r w:rsidRPr="007A29DB">
              <w:rPr>
                <w:b/>
              </w:rPr>
              <w:t>Project title</w:t>
            </w:r>
          </w:p>
        </w:tc>
        <w:tc>
          <w:tcPr>
            <w:tcW w:w="7230" w:type="dxa"/>
            <w:tcBorders>
              <w:top w:val="single" w:sz="4" w:space="0" w:color="auto"/>
              <w:left w:val="single" w:sz="4" w:space="0" w:color="auto"/>
              <w:bottom w:val="single" w:sz="4" w:space="0" w:color="auto"/>
              <w:right w:val="single" w:sz="4" w:space="0" w:color="auto"/>
            </w:tcBorders>
          </w:tcPr>
          <w:p w:rsidR="008A1EA6" w:rsidRPr="00D679D8" w:rsidRDefault="008A1EA6" w:rsidP="0009657C">
            <w:pPr>
              <w:spacing w:before="60" w:after="60"/>
              <w:ind w:right="-188"/>
            </w:pPr>
            <w:r w:rsidRPr="001A17D0">
              <w:t>Clinical trial with a genetically modified human adenovirus COVID-19 vaccine</w:t>
            </w:r>
            <w:r w:rsidRPr="00A35744">
              <w:rPr>
                <w:vertAlign w:val="superscript"/>
              </w:rPr>
              <w:footnoteReference w:id="1"/>
            </w:r>
          </w:p>
        </w:tc>
      </w:tr>
      <w:tr w:rsidR="008A1EA6" w:rsidRPr="0000143A" w:rsidTr="0009657C">
        <w:tc>
          <w:tcPr>
            <w:tcW w:w="2263" w:type="dxa"/>
            <w:tcBorders>
              <w:top w:val="single" w:sz="4" w:space="0" w:color="auto"/>
              <w:left w:val="single" w:sz="4" w:space="0" w:color="auto"/>
              <w:bottom w:val="single" w:sz="4" w:space="0" w:color="auto"/>
              <w:right w:val="single" w:sz="4" w:space="0" w:color="auto"/>
            </w:tcBorders>
            <w:hideMark/>
          </w:tcPr>
          <w:p w:rsidR="008A1EA6" w:rsidRPr="007A29DB" w:rsidRDefault="008A1EA6" w:rsidP="0009657C">
            <w:pPr>
              <w:spacing w:before="60" w:after="60"/>
              <w:ind w:right="-188"/>
              <w:rPr>
                <w:b/>
              </w:rPr>
            </w:pPr>
            <w:r w:rsidRPr="007A29DB">
              <w:rPr>
                <w:b/>
              </w:rPr>
              <w:lastRenderedPageBreak/>
              <w:t>Parent organism</w:t>
            </w:r>
          </w:p>
        </w:tc>
        <w:tc>
          <w:tcPr>
            <w:tcW w:w="7230" w:type="dxa"/>
            <w:tcBorders>
              <w:top w:val="single" w:sz="4" w:space="0" w:color="auto"/>
              <w:left w:val="single" w:sz="4" w:space="0" w:color="auto"/>
              <w:bottom w:val="single" w:sz="4" w:space="0" w:color="auto"/>
              <w:right w:val="single" w:sz="4" w:space="0" w:color="auto"/>
            </w:tcBorders>
          </w:tcPr>
          <w:p w:rsidR="008A1EA6" w:rsidRPr="00D679D8" w:rsidRDefault="008A1EA6" w:rsidP="0009657C">
            <w:pPr>
              <w:spacing w:before="60" w:after="60"/>
              <w:ind w:right="-188"/>
            </w:pPr>
            <w:r>
              <w:t>Human adenovirus 6 (HAdV-C6)</w:t>
            </w:r>
          </w:p>
        </w:tc>
      </w:tr>
      <w:tr w:rsidR="008A1EA6" w:rsidRPr="0000143A" w:rsidTr="0009657C">
        <w:tc>
          <w:tcPr>
            <w:tcW w:w="2263" w:type="dxa"/>
            <w:tcBorders>
              <w:top w:val="single" w:sz="4" w:space="0" w:color="auto"/>
              <w:left w:val="single" w:sz="4" w:space="0" w:color="auto"/>
              <w:bottom w:val="single" w:sz="4" w:space="0" w:color="auto"/>
              <w:right w:val="single" w:sz="4" w:space="0" w:color="auto"/>
            </w:tcBorders>
            <w:hideMark/>
          </w:tcPr>
          <w:p w:rsidR="008A1EA6" w:rsidRPr="007A29DB" w:rsidRDefault="008A1EA6" w:rsidP="0009657C">
            <w:pPr>
              <w:spacing w:before="60" w:after="60"/>
              <w:ind w:right="-188"/>
              <w:rPr>
                <w:b/>
              </w:rPr>
            </w:pPr>
            <w:r w:rsidRPr="007A29DB">
              <w:rPr>
                <w:b/>
              </w:rPr>
              <w:t>Introduced gene and modified trait</w:t>
            </w:r>
          </w:p>
        </w:tc>
        <w:tc>
          <w:tcPr>
            <w:tcW w:w="7230" w:type="dxa"/>
            <w:tcBorders>
              <w:top w:val="single" w:sz="4" w:space="0" w:color="auto"/>
              <w:left w:val="single" w:sz="4" w:space="0" w:color="auto"/>
              <w:bottom w:val="single" w:sz="4" w:space="0" w:color="auto"/>
              <w:right w:val="single" w:sz="4" w:space="0" w:color="auto"/>
            </w:tcBorders>
          </w:tcPr>
          <w:p w:rsidR="008A1EA6" w:rsidRPr="00003BF0" w:rsidRDefault="008A1EA6" w:rsidP="0009657C">
            <w:pPr>
              <w:pStyle w:val="RIGHTLIST"/>
              <w:numPr>
                <w:ilvl w:val="0"/>
                <w:numId w:val="4"/>
              </w:numPr>
              <w:autoSpaceDE w:val="0"/>
              <w:autoSpaceDN w:val="0"/>
              <w:spacing w:before="0"/>
              <w:jc w:val="both"/>
              <w:rPr>
                <w:rFonts w:ascii="Calibri" w:hAnsi="Calibri" w:cs="Calibri"/>
                <w:iCs/>
              </w:rPr>
            </w:pPr>
            <w:r w:rsidRPr="00003BF0">
              <w:rPr>
                <w:rFonts w:ascii="Calibri" w:hAnsi="Calibri" w:cs="Calibri"/>
                <w:iCs/>
              </w:rPr>
              <w:t>Deletion of:</w:t>
            </w:r>
          </w:p>
          <w:p w:rsidR="008A1EA6" w:rsidRPr="00003BF0" w:rsidRDefault="008A1EA6" w:rsidP="0009657C">
            <w:pPr>
              <w:pStyle w:val="RIGHTLIST"/>
              <w:numPr>
                <w:ilvl w:val="0"/>
                <w:numId w:val="6"/>
              </w:numPr>
              <w:autoSpaceDE w:val="0"/>
              <w:autoSpaceDN w:val="0"/>
              <w:spacing w:before="0"/>
              <w:ind w:left="772"/>
              <w:jc w:val="both"/>
              <w:rPr>
                <w:rFonts w:ascii="Calibri" w:hAnsi="Calibri" w:cs="Calibri"/>
                <w:iCs/>
              </w:rPr>
            </w:pPr>
            <w:proofErr w:type="spellStart"/>
            <w:r w:rsidRPr="00FB049E">
              <w:rPr>
                <w:rFonts w:ascii="Calibri" w:hAnsi="Calibri" w:cs="Calibri"/>
                <w:i/>
                <w:iCs/>
              </w:rPr>
              <w:t>IIIa</w:t>
            </w:r>
            <w:proofErr w:type="spellEnd"/>
            <w:r>
              <w:rPr>
                <w:rFonts w:ascii="Calibri" w:hAnsi="Calibri" w:cs="Calibri"/>
                <w:iCs/>
              </w:rPr>
              <w:t xml:space="preserve"> gene</w:t>
            </w:r>
            <w:r w:rsidRPr="00003BF0">
              <w:rPr>
                <w:rFonts w:ascii="Calibri" w:hAnsi="Calibri" w:cs="Calibri"/>
                <w:iCs/>
              </w:rPr>
              <w:t xml:space="preserve"> (</w:t>
            </w:r>
            <w:r>
              <w:rPr>
                <w:rFonts w:ascii="Calibri" w:hAnsi="Calibri" w:cs="Calibri"/>
                <w:iCs/>
              </w:rPr>
              <w:t xml:space="preserve">stops virus multiplying) </w:t>
            </w:r>
          </w:p>
          <w:p w:rsidR="008A1EA6" w:rsidRDefault="008A1EA6" w:rsidP="0009657C">
            <w:pPr>
              <w:pStyle w:val="RIGHTLIST"/>
              <w:numPr>
                <w:ilvl w:val="0"/>
                <w:numId w:val="6"/>
              </w:numPr>
              <w:autoSpaceDE w:val="0"/>
              <w:autoSpaceDN w:val="0"/>
              <w:spacing w:before="0"/>
              <w:ind w:left="772"/>
              <w:jc w:val="both"/>
              <w:rPr>
                <w:rFonts w:ascii="Calibri" w:hAnsi="Calibri" w:cs="Calibri"/>
                <w:iCs/>
              </w:rPr>
            </w:pPr>
            <w:r>
              <w:rPr>
                <w:rFonts w:ascii="Calibri" w:hAnsi="Calibri" w:cs="Calibri"/>
                <w:iCs/>
              </w:rPr>
              <w:t>Large portions of E3 gene</w:t>
            </w:r>
            <w:r w:rsidRPr="00003BF0">
              <w:rPr>
                <w:rFonts w:ascii="Calibri" w:hAnsi="Calibri" w:cs="Calibri"/>
                <w:iCs/>
              </w:rPr>
              <w:t xml:space="preserve"> (</w:t>
            </w:r>
            <w:r w:rsidRPr="002B1D05">
              <w:rPr>
                <w:rFonts w:ascii="Calibri" w:hAnsi="Calibri" w:cs="Calibri"/>
                <w:iCs/>
              </w:rPr>
              <w:t>increases immune response to virus</w:t>
            </w:r>
            <w:r w:rsidRPr="00003BF0">
              <w:rPr>
                <w:rFonts w:ascii="Calibri" w:hAnsi="Calibri" w:cs="Calibri"/>
                <w:iCs/>
              </w:rPr>
              <w:t>)</w:t>
            </w:r>
          </w:p>
          <w:p w:rsidR="008A1EA6" w:rsidRPr="00003BF0" w:rsidRDefault="008A1EA6" w:rsidP="0009657C">
            <w:pPr>
              <w:pStyle w:val="RIGHTLIST"/>
              <w:numPr>
                <w:ilvl w:val="0"/>
                <w:numId w:val="6"/>
              </w:numPr>
              <w:autoSpaceDE w:val="0"/>
              <w:autoSpaceDN w:val="0"/>
              <w:spacing w:before="0"/>
              <w:ind w:left="772"/>
              <w:jc w:val="both"/>
              <w:rPr>
                <w:rFonts w:ascii="Calibri" w:hAnsi="Calibri" w:cs="Calibri"/>
                <w:iCs/>
              </w:rPr>
            </w:pPr>
            <w:r>
              <w:rPr>
                <w:rFonts w:ascii="Calibri" w:hAnsi="Calibri" w:cs="Calibri"/>
                <w:iCs/>
              </w:rPr>
              <w:t>E4 UXP ORF (reduce virus growth)</w:t>
            </w:r>
          </w:p>
          <w:p w:rsidR="008A1EA6" w:rsidRPr="00D679D8" w:rsidRDefault="008A1EA6" w:rsidP="0009657C">
            <w:pPr>
              <w:pStyle w:val="RIGHTLIST"/>
              <w:numPr>
                <w:ilvl w:val="0"/>
                <w:numId w:val="4"/>
              </w:numPr>
              <w:autoSpaceDE w:val="0"/>
              <w:autoSpaceDN w:val="0"/>
              <w:spacing w:before="0"/>
              <w:jc w:val="both"/>
              <w:rPr>
                <w:rFonts w:ascii="Calibri" w:hAnsi="Calibri" w:cs="Calibri"/>
                <w:iCs/>
              </w:rPr>
            </w:pPr>
            <w:r>
              <w:rPr>
                <w:rFonts w:ascii="Calibri" w:hAnsi="Calibri" w:cs="Calibri"/>
                <w:iCs/>
              </w:rPr>
              <w:t xml:space="preserve">Insertion of a gene encoding the </w:t>
            </w:r>
            <w:r w:rsidRPr="00185667">
              <w:rPr>
                <w:rFonts w:ascii="Calibri" w:hAnsi="Calibri" w:cs="Calibri"/>
                <w:iCs/>
              </w:rPr>
              <w:t>SARS-CoV-2 spike protein (express</w:t>
            </w:r>
            <w:r>
              <w:rPr>
                <w:rFonts w:ascii="Calibri" w:hAnsi="Calibri" w:cs="Calibri"/>
                <w:iCs/>
              </w:rPr>
              <w:t xml:space="preserve">es </w:t>
            </w:r>
            <w:r w:rsidRPr="00185667">
              <w:rPr>
                <w:rFonts w:ascii="Calibri" w:hAnsi="Calibri" w:cs="Calibri"/>
                <w:iCs/>
              </w:rPr>
              <w:t>spike protein)</w:t>
            </w:r>
          </w:p>
        </w:tc>
      </w:tr>
      <w:tr w:rsidR="008A1EA6" w:rsidRPr="0000143A" w:rsidTr="0009657C">
        <w:tc>
          <w:tcPr>
            <w:tcW w:w="2263" w:type="dxa"/>
            <w:tcBorders>
              <w:top w:val="single" w:sz="4" w:space="0" w:color="auto"/>
              <w:left w:val="single" w:sz="4" w:space="0" w:color="auto"/>
              <w:bottom w:val="single" w:sz="4" w:space="0" w:color="auto"/>
              <w:right w:val="single" w:sz="4" w:space="0" w:color="auto"/>
            </w:tcBorders>
          </w:tcPr>
          <w:p w:rsidR="008A1EA6" w:rsidRPr="002B1D05" w:rsidRDefault="008A1EA6" w:rsidP="0009657C">
            <w:pPr>
              <w:spacing w:before="60" w:after="60"/>
              <w:ind w:right="-188"/>
              <w:rPr>
                <w:b/>
              </w:rPr>
            </w:pPr>
            <w:r>
              <w:rPr>
                <w:b/>
              </w:rPr>
              <w:t>Principle purpose</w:t>
            </w:r>
          </w:p>
        </w:tc>
        <w:tc>
          <w:tcPr>
            <w:tcW w:w="7230" w:type="dxa"/>
            <w:tcBorders>
              <w:top w:val="single" w:sz="4" w:space="0" w:color="auto"/>
              <w:left w:val="single" w:sz="4" w:space="0" w:color="auto"/>
              <w:bottom w:val="single" w:sz="4" w:space="0" w:color="auto"/>
              <w:right w:val="single" w:sz="4" w:space="0" w:color="auto"/>
            </w:tcBorders>
          </w:tcPr>
          <w:p w:rsidR="008A1EA6" w:rsidRDefault="008A1EA6" w:rsidP="0009657C">
            <w:pPr>
              <w:pStyle w:val="Para"/>
              <w:widowControl w:val="0"/>
              <w:numPr>
                <w:ilvl w:val="0"/>
                <w:numId w:val="0"/>
              </w:numPr>
              <w:tabs>
                <w:tab w:val="clear" w:pos="567"/>
              </w:tabs>
              <w:spacing w:before="60" w:after="100"/>
              <w:rPr>
                <w:rFonts w:ascii="Calibri" w:hAnsi="Calibri" w:cs="Calibri"/>
                <w:sz w:val="22"/>
                <w:szCs w:val="22"/>
              </w:rPr>
            </w:pPr>
            <w:r w:rsidRPr="000A2F5B">
              <w:rPr>
                <w:rFonts w:ascii="Calibri" w:hAnsi="Calibri" w:cs="Calibri"/>
                <w:sz w:val="22"/>
                <w:szCs w:val="22"/>
              </w:rPr>
              <w:t>The proposed trial is a phase I study designed to evaluate the safety, tolerability, immunogenicity and efficacy of SC-Ad6-1 as a second generation, prophylactic vaccine to prevent COVID-19.</w:t>
            </w:r>
          </w:p>
        </w:tc>
      </w:tr>
      <w:tr w:rsidR="008A1EA6" w:rsidRPr="0000143A" w:rsidTr="0009657C">
        <w:tc>
          <w:tcPr>
            <w:tcW w:w="2263" w:type="dxa"/>
            <w:tcBorders>
              <w:top w:val="single" w:sz="4" w:space="0" w:color="auto"/>
              <w:left w:val="single" w:sz="4" w:space="0" w:color="auto"/>
              <w:bottom w:val="single" w:sz="4" w:space="0" w:color="auto"/>
              <w:right w:val="single" w:sz="4" w:space="0" w:color="auto"/>
            </w:tcBorders>
          </w:tcPr>
          <w:p w:rsidR="008A1EA6" w:rsidRPr="002B1D05" w:rsidRDefault="008A1EA6" w:rsidP="0009657C">
            <w:pPr>
              <w:spacing w:before="60" w:after="60"/>
              <w:ind w:right="-188"/>
            </w:pPr>
            <w:r w:rsidRPr="002B1D05">
              <w:rPr>
                <w:b/>
              </w:rPr>
              <w:t>Previous clinical trials</w:t>
            </w:r>
          </w:p>
        </w:tc>
        <w:tc>
          <w:tcPr>
            <w:tcW w:w="7230" w:type="dxa"/>
            <w:tcBorders>
              <w:top w:val="single" w:sz="4" w:space="0" w:color="auto"/>
              <w:left w:val="single" w:sz="4" w:space="0" w:color="auto"/>
              <w:bottom w:val="single" w:sz="4" w:space="0" w:color="auto"/>
              <w:right w:val="single" w:sz="4" w:space="0" w:color="auto"/>
            </w:tcBorders>
          </w:tcPr>
          <w:p w:rsidR="008A1EA6" w:rsidRPr="00D74F4C" w:rsidRDefault="008A1EA6" w:rsidP="0009657C">
            <w:pPr>
              <w:pStyle w:val="Para"/>
              <w:widowControl w:val="0"/>
              <w:numPr>
                <w:ilvl w:val="0"/>
                <w:numId w:val="0"/>
              </w:numPr>
              <w:tabs>
                <w:tab w:val="clear" w:pos="567"/>
              </w:tabs>
              <w:spacing w:before="60" w:after="100"/>
              <w:rPr>
                <w:rFonts w:ascii="Calibri" w:hAnsi="Calibri" w:cs="Calibri"/>
                <w:sz w:val="22"/>
                <w:szCs w:val="22"/>
              </w:rPr>
            </w:pPr>
            <w:r>
              <w:rPr>
                <w:rFonts w:ascii="Calibri" w:hAnsi="Calibri" w:cs="Calibri"/>
                <w:sz w:val="22"/>
                <w:szCs w:val="22"/>
              </w:rPr>
              <w:t>This is a first in human clinical trial using an intranasal route.</w:t>
            </w:r>
          </w:p>
        </w:tc>
      </w:tr>
      <w:tr w:rsidR="008A1EA6" w:rsidRPr="0000143A" w:rsidTr="0009657C">
        <w:tc>
          <w:tcPr>
            <w:tcW w:w="2263" w:type="dxa"/>
            <w:tcBorders>
              <w:top w:val="single" w:sz="4" w:space="0" w:color="auto"/>
              <w:left w:val="single" w:sz="4" w:space="0" w:color="auto"/>
              <w:bottom w:val="single" w:sz="4" w:space="0" w:color="auto"/>
              <w:right w:val="single" w:sz="4" w:space="0" w:color="auto"/>
            </w:tcBorders>
            <w:hideMark/>
          </w:tcPr>
          <w:p w:rsidR="008A1EA6" w:rsidRPr="007A29DB" w:rsidRDefault="008A1EA6" w:rsidP="0009657C">
            <w:pPr>
              <w:spacing w:before="60" w:after="60"/>
              <w:ind w:right="-188"/>
              <w:rPr>
                <w:b/>
              </w:rPr>
            </w:pPr>
            <w:r w:rsidRPr="007A29DB">
              <w:rPr>
                <w:b/>
              </w:rPr>
              <w:t>Proposed locations</w:t>
            </w:r>
          </w:p>
        </w:tc>
        <w:tc>
          <w:tcPr>
            <w:tcW w:w="7230" w:type="dxa"/>
            <w:tcBorders>
              <w:top w:val="single" w:sz="4" w:space="0" w:color="auto"/>
              <w:left w:val="single" w:sz="4" w:space="0" w:color="auto"/>
              <w:bottom w:val="single" w:sz="4" w:space="0" w:color="auto"/>
              <w:right w:val="single" w:sz="4" w:space="0" w:color="auto"/>
            </w:tcBorders>
          </w:tcPr>
          <w:p w:rsidR="008A1EA6" w:rsidRPr="0000143A" w:rsidRDefault="008A1EA6" w:rsidP="0009657C">
            <w:pPr>
              <w:spacing w:before="60" w:after="60"/>
            </w:pPr>
            <w:r w:rsidRPr="00A35744">
              <w:rPr>
                <w:rFonts w:asciiTheme="minorHAnsi" w:hAnsiTheme="minorHAnsi" w:cstheme="minorHAnsi"/>
              </w:rPr>
              <w:t>Clinical trials will be conducted at clinical trial sites</w:t>
            </w:r>
            <w:r>
              <w:rPr>
                <w:rFonts w:asciiTheme="minorHAnsi" w:hAnsiTheme="minorHAnsi" w:cstheme="minorHAnsi"/>
              </w:rPr>
              <w:t xml:space="preserve"> and </w:t>
            </w:r>
            <w:r w:rsidRPr="00A35744">
              <w:rPr>
                <w:rFonts w:asciiTheme="minorHAnsi" w:hAnsiTheme="minorHAnsi" w:cstheme="minorHAnsi"/>
              </w:rPr>
              <w:t>hospitals within Australia.</w:t>
            </w:r>
            <w:r w:rsidRPr="00C009AF">
              <w:rPr>
                <w:rFonts w:asciiTheme="minorHAnsi" w:hAnsiTheme="minorHAnsi" w:cstheme="minorHAnsi"/>
                <w:color w:val="FF0000"/>
              </w:rPr>
              <w:t xml:space="preserve"> </w:t>
            </w:r>
          </w:p>
        </w:tc>
      </w:tr>
      <w:tr w:rsidR="008A1EA6" w:rsidRPr="0000143A" w:rsidTr="0009657C">
        <w:tc>
          <w:tcPr>
            <w:tcW w:w="2263" w:type="dxa"/>
            <w:tcBorders>
              <w:top w:val="single" w:sz="4" w:space="0" w:color="auto"/>
              <w:left w:val="single" w:sz="4" w:space="0" w:color="auto"/>
              <w:bottom w:val="single" w:sz="4" w:space="0" w:color="auto"/>
              <w:right w:val="single" w:sz="4" w:space="0" w:color="auto"/>
            </w:tcBorders>
            <w:hideMark/>
          </w:tcPr>
          <w:p w:rsidR="008A1EA6" w:rsidRPr="007A29DB" w:rsidRDefault="008A1EA6" w:rsidP="0009657C">
            <w:pPr>
              <w:spacing w:before="60" w:after="60"/>
              <w:ind w:right="-188"/>
              <w:rPr>
                <w:b/>
              </w:rPr>
            </w:pPr>
            <w:r>
              <w:rPr>
                <w:b/>
              </w:rPr>
              <w:t>Proposed limits and controls</w:t>
            </w:r>
            <w:r w:rsidRPr="007A29DB">
              <w:rPr>
                <w:b/>
              </w:rPr>
              <w:t xml:space="preserve"> </w:t>
            </w:r>
          </w:p>
        </w:tc>
        <w:tc>
          <w:tcPr>
            <w:tcW w:w="7230" w:type="dxa"/>
            <w:tcBorders>
              <w:top w:val="single" w:sz="4" w:space="0" w:color="auto"/>
              <w:left w:val="single" w:sz="4" w:space="0" w:color="auto"/>
              <w:bottom w:val="single" w:sz="4" w:space="0" w:color="auto"/>
              <w:right w:val="single" w:sz="4" w:space="0" w:color="auto"/>
            </w:tcBorders>
          </w:tcPr>
          <w:p w:rsidR="008A1EA6" w:rsidRPr="00B03632" w:rsidRDefault="008A1EA6" w:rsidP="0009657C">
            <w:pPr>
              <w:pStyle w:val="ListParagraph"/>
              <w:numPr>
                <w:ilvl w:val="0"/>
                <w:numId w:val="4"/>
              </w:numPr>
              <w:spacing w:before="0" w:after="0"/>
              <w:contextualSpacing/>
              <w:rPr>
                <w:rFonts w:cs="Calibri"/>
              </w:rPr>
            </w:pPr>
            <w:r w:rsidRPr="00263EE3">
              <w:rPr>
                <w:rFonts w:cs="Calibri"/>
              </w:rPr>
              <w:t xml:space="preserve">Import, transport and storage of the genetically modified organism (GMO) will be carried out according to </w:t>
            </w:r>
            <w:r w:rsidRPr="007D6A58">
              <w:t xml:space="preserve">Regulator’s </w:t>
            </w:r>
            <w:r w:rsidRPr="00263EE3">
              <w:rPr>
                <w:i/>
              </w:rPr>
              <w:t>Guidelines for the Transport, Storage and Disposal of GMOs</w:t>
            </w:r>
            <w:r w:rsidRPr="00B03632">
              <w:rPr>
                <w:rFonts w:cs="Calibri"/>
              </w:rPr>
              <w:t xml:space="preserve"> appropriate for PC1 GMOs</w:t>
            </w:r>
          </w:p>
          <w:p w:rsidR="008A1EA6" w:rsidRDefault="008A1EA6" w:rsidP="0009657C">
            <w:pPr>
              <w:pStyle w:val="ListParagraph"/>
              <w:numPr>
                <w:ilvl w:val="0"/>
                <w:numId w:val="4"/>
              </w:numPr>
              <w:tabs>
                <w:tab w:val="left" w:pos="5670"/>
                <w:tab w:val="left" w:pos="6946"/>
                <w:tab w:val="left" w:pos="7655"/>
              </w:tabs>
              <w:spacing w:before="60" w:after="60"/>
              <w:contextualSpacing/>
              <w:rPr>
                <w:rFonts w:asciiTheme="minorHAnsi" w:hAnsiTheme="minorHAnsi" w:cstheme="minorHAnsi"/>
                <w:szCs w:val="22"/>
              </w:rPr>
            </w:pPr>
            <w:r w:rsidRPr="00EB3F18">
              <w:rPr>
                <w:rFonts w:asciiTheme="minorHAnsi" w:hAnsiTheme="minorHAnsi" w:cstheme="minorHAnsi"/>
                <w:szCs w:val="22"/>
              </w:rPr>
              <w:t>The GMO will be administered to trial participants in a suitable medical facility setting.</w:t>
            </w:r>
          </w:p>
          <w:p w:rsidR="008A1EA6" w:rsidRPr="00292ABC" w:rsidRDefault="008A1EA6" w:rsidP="0009657C">
            <w:pPr>
              <w:pStyle w:val="ListParagraph"/>
              <w:numPr>
                <w:ilvl w:val="0"/>
                <w:numId w:val="4"/>
              </w:numPr>
              <w:spacing w:before="0" w:after="0"/>
              <w:contextualSpacing/>
              <w:rPr>
                <w:rFonts w:cs="Calibri"/>
                <w:szCs w:val="22"/>
              </w:rPr>
            </w:pPr>
            <w:r>
              <w:rPr>
                <w:rFonts w:cs="Calibri"/>
                <w:szCs w:val="22"/>
              </w:rPr>
              <w:t>Staff handling the GMO will be trained and use personal protective equipment.</w:t>
            </w:r>
          </w:p>
          <w:p w:rsidR="008A1EA6" w:rsidRPr="006421E1" w:rsidRDefault="008A1EA6" w:rsidP="0009657C">
            <w:pPr>
              <w:pStyle w:val="ListParagraph"/>
              <w:numPr>
                <w:ilvl w:val="0"/>
                <w:numId w:val="4"/>
              </w:numPr>
              <w:spacing w:before="0" w:after="0"/>
              <w:contextualSpacing/>
              <w:rPr>
                <w:rFonts w:cs="Calibri"/>
                <w:szCs w:val="22"/>
              </w:rPr>
            </w:pPr>
            <w:r w:rsidRPr="00EB3F18">
              <w:rPr>
                <w:rFonts w:asciiTheme="minorHAnsi" w:hAnsiTheme="minorHAnsi" w:cstheme="minorHAnsi"/>
                <w:szCs w:val="22"/>
              </w:rPr>
              <w:t>Waste that may contain the GMO will be disposed of via the clinical waste stream.</w:t>
            </w:r>
          </w:p>
          <w:p w:rsidR="008A1EA6" w:rsidRPr="006620D3" w:rsidRDefault="008A1EA6" w:rsidP="0009657C">
            <w:pPr>
              <w:pStyle w:val="ListParagraph"/>
              <w:numPr>
                <w:ilvl w:val="0"/>
                <w:numId w:val="4"/>
              </w:numPr>
              <w:tabs>
                <w:tab w:val="left" w:pos="5670"/>
                <w:tab w:val="left" w:pos="6946"/>
                <w:tab w:val="left" w:pos="7655"/>
              </w:tabs>
              <w:spacing w:before="60" w:after="60"/>
              <w:contextualSpacing/>
              <w:rPr>
                <w:rFonts w:asciiTheme="minorHAnsi" w:hAnsiTheme="minorHAnsi" w:cstheme="minorHAnsi"/>
                <w:szCs w:val="22"/>
              </w:rPr>
            </w:pPr>
            <w:r>
              <w:rPr>
                <w:rFonts w:cs="Calibri"/>
                <w:szCs w:val="22"/>
              </w:rPr>
              <w:t>Participants will be held at clinical trial site for at least 4 hours after administration and sent home with detailed instructions post-treatment.</w:t>
            </w:r>
          </w:p>
          <w:p w:rsidR="008A1EA6" w:rsidRPr="000A2F5B" w:rsidRDefault="008A1EA6" w:rsidP="0009657C">
            <w:pPr>
              <w:pStyle w:val="ListParagraph"/>
              <w:numPr>
                <w:ilvl w:val="0"/>
                <w:numId w:val="4"/>
              </w:numPr>
              <w:tabs>
                <w:tab w:val="left" w:pos="5670"/>
                <w:tab w:val="left" w:pos="6946"/>
                <w:tab w:val="left" w:pos="7655"/>
              </w:tabs>
              <w:spacing w:before="60" w:after="60"/>
              <w:contextualSpacing/>
              <w:rPr>
                <w:rFonts w:asciiTheme="minorHAnsi" w:hAnsiTheme="minorHAnsi" w:cstheme="minorHAnsi"/>
                <w:szCs w:val="22"/>
              </w:rPr>
            </w:pPr>
            <w:r>
              <w:rPr>
                <w:rFonts w:asciiTheme="minorHAnsi" w:hAnsiTheme="minorHAnsi" w:cstheme="minorHAnsi"/>
                <w:szCs w:val="22"/>
              </w:rPr>
              <w:t xml:space="preserve">The clinical trial would enrol a limited numbers of </w:t>
            </w:r>
            <w:r w:rsidRPr="000857B8">
              <w:rPr>
                <w:rFonts w:asciiTheme="minorHAnsi" w:hAnsiTheme="minorHAnsi" w:cstheme="minorHAnsi"/>
                <w:szCs w:val="22"/>
              </w:rPr>
              <w:t>trial participants (up to 1000 healthy volunteers</w:t>
            </w:r>
            <w:r>
              <w:rPr>
                <w:rFonts w:asciiTheme="minorHAnsi" w:hAnsiTheme="minorHAnsi" w:cstheme="minorHAnsi"/>
                <w:szCs w:val="22"/>
              </w:rPr>
              <w:t xml:space="preserve"> in Australia</w:t>
            </w:r>
            <w:r w:rsidRPr="000857B8">
              <w:rPr>
                <w:rFonts w:asciiTheme="minorHAnsi" w:hAnsiTheme="minorHAnsi" w:cstheme="minorHAnsi"/>
                <w:szCs w:val="22"/>
              </w:rPr>
              <w:t xml:space="preserve"> at multiple sites). </w:t>
            </w:r>
          </w:p>
        </w:tc>
      </w:tr>
    </w:tbl>
    <w:p w:rsidR="008A1EA6" w:rsidRPr="0000143A" w:rsidRDefault="008A1EA6" w:rsidP="0009657C">
      <w:pPr>
        <w:pStyle w:val="Heading2"/>
        <w:numPr>
          <w:ilvl w:val="0"/>
          <w:numId w:val="0"/>
        </w:numPr>
        <w:ind w:right="-188"/>
      </w:pPr>
      <w:bookmarkStart w:id="18" w:name="_Toc342042136"/>
      <w:bookmarkStart w:id="19" w:name="_Toc47536736"/>
      <w:bookmarkStart w:id="20" w:name="_Toc73427549"/>
      <w:r w:rsidRPr="0000143A">
        <w:t>Risk assessment</w:t>
      </w:r>
      <w:bookmarkEnd w:id="14"/>
      <w:bookmarkEnd w:id="15"/>
      <w:bookmarkEnd w:id="16"/>
      <w:bookmarkEnd w:id="18"/>
      <w:bookmarkEnd w:id="19"/>
      <w:bookmarkEnd w:id="20"/>
    </w:p>
    <w:p w:rsidR="008220EE" w:rsidRDefault="008A1EA6" w:rsidP="0009657C">
      <w:pPr>
        <w:ind w:right="-188"/>
        <w:rPr>
          <w:bCs/>
        </w:rPr>
      </w:pPr>
      <w:r w:rsidRPr="00A35744">
        <w:t xml:space="preserve">The risk assessment concludes that risks to the health and safety of people or the environment from the proposed clinical trial are </w:t>
      </w:r>
      <w:r w:rsidRPr="00A35744">
        <w:rPr>
          <w:bCs/>
        </w:rPr>
        <w:t>negligible</w:t>
      </w:r>
      <w:r w:rsidRPr="00A35744">
        <w:t>. N</w:t>
      </w:r>
      <w:r w:rsidRPr="00A35744">
        <w:rPr>
          <w:bCs/>
        </w:rPr>
        <w:t>o specific risk treatment measures are required to manage these negligible risks.</w:t>
      </w:r>
    </w:p>
    <w:p w:rsidR="008A1EA6" w:rsidRPr="009A2BA4" w:rsidRDefault="008A1EA6" w:rsidP="0009657C">
      <w:pPr>
        <w:ind w:right="-188"/>
      </w:pPr>
      <w:r w:rsidRPr="003A791E">
        <w:t>The risk assessment process considers how the genetic modifications and proposed activities conducted with the GMO might lead to harm to people or the environment. Risks are characterised in relation to both the seriousness and likelihood of harm, taking into account inform</w:t>
      </w:r>
      <w:r w:rsidR="008220EE">
        <w:t xml:space="preserve">ation in the </w:t>
      </w:r>
      <w:r w:rsidRPr="003A791E">
        <w:t>application (including proposed controls), relevant previous approvals and current scientific/technical k</w:t>
      </w:r>
      <w:r w:rsidRPr="009A2BA4">
        <w:t>nowledge. Both the short and long term impact are considered.</w:t>
      </w:r>
    </w:p>
    <w:p w:rsidR="008A1EA6" w:rsidRPr="008220EE" w:rsidRDefault="008A1EA6" w:rsidP="0009657C">
      <w:pPr>
        <w:spacing w:after="240"/>
        <w:ind w:right="-188"/>
        <w:rPr>
          <w:rFonts w:cs="Calibri"/>
          <w:szCs w:val="22"/>
        </w:rPr>
      </w:pPr>
      <w:r w:rsidRPr="00A35744">
        <w:rPr>
          <w:rFonts w:cs="Calibri"/>
          <w:szCs w:val="22"/>
        </w:rPr>
        <w:t>Credible pathways to potential harm that were considered include</w:t>
      </w:r>
      <w:r>
        <w:rPr>
          <w:rFonts w:cs="Calibri"/>
          <w:szCs w:val="22"/>
        </w:rPr>
        <w:t>:</w:t>
      </w:r>
      <w:r w:rsidRPr="00A35744">
        <w:rPr>
          <w:rFonts w:cs="Calibri"/>
          <w:szCs w:val="22"/>
        </w:rPr>
        <w:t xml:space="preserve"> the potential exposure of people and animals to the GMO; the potential for the GMO to recombine with other similar viruses or to get genes from those viruses; and the potential for the GMO to integrate into the host genome. The potential for the GMO to be released into the environment and its effects were also considered.</w:t>
      </w:r>
    </w:p>
    <w:p w:rsidR="008A1EA6" w:rsidRPr="000A1FA7" w:rsidRDefault="008A1EA6" w:rsidP="0009657C">
      <w:pPr>
        <w:ind w:right="-188"/>
        <w:rPr>
          <w:rFonts w:cs="Calibri"/>
          <w:szCs w:val="22"/>
          <w:highlight w:val="yellow"/>
        </w:rPr>
      </w:pPr>
      <w:r w:rsidRPr="00F16D89">
        <w:rPr>
          <w:rFonts w:asciiTheme="minorHAnsi" w:hAnsiTheme="minorHAnsi" w:cstheme="minorHAnsi"/>
          <w:szCs w:val="22"/>
        </w:rPr>
        <w:t>Important factors in reaching the conclusions of the risk assessment included:</w:t>
      </w:r>
      <w:r>
        <w:rPr>
          <w:rFonts w:asciiTheme="minorHAnsi" w:hAnsiTheme="minorHAnsi" w:cstheme="minorHAnsi"/>
          <w:szCs w:val="22"/>
        </w:rPr>
        <w:t xml:space="preserve"> </w:t>
      </w:r>
    </w:p>
    <w:p w:rsidR="008A1EA6" w:rsidRPr="00A35744" w:rsidRDefault="008A1EA6" w:rsidP="0009657C">
      <w:pPr>
        <w:pStyle w:val="ListParagraph"/>
        <w:numPr>
          <w:ilvl w:val="0"/>
          <w:numId w:val="7"/>
        </w:numPr>
        <w:ind w:right="-188"/>
      </w:pPr>
      <w:r w:rsidRPr="00A35744">
        <w:t>The GMO is unable to for</w:t>
      </w:r>
      <w:r>
        <w:t>m</w:t>
      </w:r>
      <w:r w:rsidRPr="00A35744">
        <w:t xml:space="preserve"> infectious viral particles, which will prevent it from multiplying in other cells</w:t>
      </w:r>
      <w:r>
        <w:t xml:space="preserve"> and is very unlikely to be shed from the vaccine recipient</w:t>
      </w:r>
      <w:r w:rsidRPr="00A35744">
        <w:t>;</w:t>
      </w:r>
    </w:p>
    <w:p w:rsidR="008A1EA6" w:rsidRPr="00A35744" w:rsidRDefault="008A1EA6" w:rsidP="0009657C">
      <w:pPr>
        <w:pStyle w:val="RARMPnumberedparagraphs"/>
        <w:numPr>
          <w:ilvl w:val="0"/>
          <w:numId w:val="5"/>
        </w:numPr>
        <w:ind w:right="-188"/>
      </w:pPr>
      <w:r w:rsidRPr="00A35744">
        <w:lastRenderedPageBreak/>
        <w:t>The likelihood of accidental exposure to the GMO in people not being vaccinated (non-</w:t>
      </w:r>
      <w:proofErr w:type="spellStart"/>
      <w:r w:rsidRPr="00A35744">
        <w:t>vaccinees</w:t>
      </w:r>
      <w:proofErr w:type="spellEnd"/>
      <w:r w:rsidRPr="00A35744">
        <w:t>) would be minimised due to</w:t>
      </w:r>
      <w:r>
        <w:t xml:space="preserve"> appropriate limits and controls,</w:t>
      </w:r>
      <w:r w:rsidRPr="00A35744">
        <w:t xml:space="preserve"> well-established import, transport, storage and disposal procedures; and</w:t>
      </w:r>
    </w:p>
    <w:p w:rsidR="008A1EA6" w:rsidRPr="00A35744" w:rsidRDefault="008A1EA6" w:rsidP="0009657C">
      <w:pPr>
        <w:pStyle w:val="RARMPnumberedparagraphs"/>
        <w:numPr>
          <w:ilvl w:val="0"/>
          <w:numId w:val="5"/>
        </w:numPr>
        <w:ind w:right="-188"/>
      </w:pPr>
      <w:r w:rsidRPr="00A35744">
        <w:rPr>
          <w:rFonts w:cs="Calibri"/>
        </w:rPr>
        <w:t>The likelihood of complementation and recombination of GMO with other adenoviruses is very low</w:t>
      </w:r>
      <w:r>
        <w:rPr>
          <w:rFonts w:cs="Calibri"/>
        </w:rPr>
        <w:t>.</w:t>
      </w:r>
    </w:p>
    <w:p w:rsidR="008A1EA6" w:rsidRDefault="008A1EA6" w:rsidP="0009657C">
      <w:pPr>
        <w:pStyle w:val="RARMPnumberedparagraphs"/>
        <w:numPr>
          <w:ilvl w:val="0"/>
          <w:numId w:val="0"/>
        </w:numPr>
        <w:ind w:right="-188"/>
        <w:rPr>
          <w:highlight w:val="yellow"/>
        </w:rPr>
      </w:pPr>
      <w:r w:rsidRPr="00AB69DB">
        <w:rPr>
          <w:rFonts w:asciiTheme="minorHAnsi" w:hAnsiTheme="minorHAnsi" w:cstheme="minorHAnsi"/>
          <w:szCs w:val="22"/>
        </w:rPr>
        <w:t xml:space="preserve">As risks to the health and safety of people, or the environment, from the proposed trial of the GM </w:t>
      </w:r>
      <w:r>
        <w:rPr>
          <w:rFonts w:asciiTheme="minorHAnsi" w:hAnsiTheme="minorHAnsi" w:cstheme="minorHAnsi"/>
          <w:szCs w:val="22"/>
        </w:rPr>
        <w:t xml:space="preserve">vaccine </w:t>
      </w:r>
      <w:r w:rsidRPr="00AB69DB">
        <w:rPr>
          <w:rFonts w:asciiTheme="minorHAnsi" w:hAnsiTheme="minorHAnsi" w:cstheme="minorHAnsi"/>
          <w:szCs w:val="22"/>
        </w:rPr>
        <w:t>have been assessed as negligible, the Regulator considers that the dealings involved do not pose a significant risk to either people or the environment</w:t>
      </w:r>
      <w:r>
        <w:rPr>
          <w:rFonts w:asciiTheme="minorHAnsi" w:hAnsiTheme="minorHAnsi" w:cstheme="minorHAnsi"/>
          <w:szCs w:val="22"/>
        </w:rPr>
        <w:t>.</w:t>
      </w:r>
    </w:p>
    <w:p w:rsidR="008A1EA6" w:rsidRPr="0000143A" w:rsidRDefault="008A1EA6" w:rsidP="0009657C">
      <w:pPr>
        <w:pStyle w:val="Heading2"/>
        <w:numPr>
          <w:ilvl w:val="0"/>
          <w:numId w:val="0"/>
        </w:numPr>
        <w:ind w:right="-188"/>
      </w:pPr>
      <w:bookmarkStart w:id="21" w:name="_Toc47536737"/>
      <w:bookmarkStart w:id="22" w:name="_Toc73427550"/>
      <w:r w:rsidRPr="009842DD">
        <w:t>Risk ma</w:t>
      </w:r>
      <w:bookmarkStart w:id="23" w:name="_Toc209859549"/>
      <w:bookmarkStart w:id="24" w:name="_Toc342042137"/>
      <w:bookmarkStart w:id="25" w:name="_Toc291151778"/>
      <w:bookmarkStart w:id="26" w:name="_Toc274904728"/>
      <w:r w:rsidRPr="009842DD">
        <w:t>nagement</w:t>
      </w:r>
      <w:bookmarkEnd w:id="21"/>
      <w:bookmarkEnd w:id="22"/>
      <w:bookmarkEnd w:id="23"/>
      <w:bookmarkEnd w:id="24"/>
      <w:bookmarkEnd w:id="25"/>
      <w:bookmarkEnd w:id="26"/>
    </w:p>
    <w:p w:rsidR="008A1EA6" w:rsidRPr="00961290" w:rsidRDefault="008A1EA6" w:rsidP="0009657C">
      <w:pPr>
        <w:ind w:right="-188"/>
        <w:rPr>
          <w:rFonts w:eastAsia="SimSun"/>
          <w:szCs w:val="22"/>
        </w:rPr>
      </w:pPr>
      <w:r w:rsidRPr="00961290">
        <w:rPr>
          <w:rFonts w:eastAsia="SimSun"/>
          <w:szCs w:val="22"/>
        </w:rPr>
        <w:t xml:space="preserve">The risk management plan describes measures to protect the health and safety of people and to protect the environment by controlling or mitigating risk. The risk management plan is given effect through licence conditions. </w:t>
      </w:r>
    </w:p>
    <w:p w:rsidR="00280050" w:rsidRDefault="008A1EA6" w:rsidP="0009657C">
      <w:pPr>
        <w:ind w:right="-188"/>
      </w:pPr>
      <w:r w:rsidRPr="00961290">
        <w:rPr>
          <w:rFonts w:eastAsia="SimSun"/>
          <w:szCs w:val="22"/>
        </w:rPr>
        <w:t>As the level of risk is considered negligible,</w:t>
      </w:r>
      <w:r w:rsidRPr="00961290" w:rsidDel="00DB4CC6">
        <w:rPr>
          <w:rFonts w:eastAsia="SimSun"/>
          <w:szCs w:val="22"/>
        </w:rPr>
        <w:t xml:space="preserve"> </w:t>
      </w:r>
      <w:r w:rsidRPr="00961290">
        <w:rPr>
          <w:rFonts w:eastAsia="SimSun"/>
          <w:szCs w:val="22"/>
        </w:rPr>
        <w:t xml:space="preserve">specific risk treatment is not required. However, since this is a </w:t>
      </w:r>
      <w:r>
        <w:rPr>
          <w:rFonts w:eastAsia="SimSun"/>
          <w:szCs w:val="22"/>
        </w:rPr>
        <w:t>clinical trial</w:t>
      </w:r>
      <w:r w:rsidRPr="00961290">
        <w:rPr>
          <w:rFonts w:eastAsia="SimSun"/>
          <w:szCs w:val="22"/>
        </w:rPr>
        <w:t xml:space="preserve">, the licence includes limits on the </w:t>
      </w:r>
      <w:r>
        <w:rPr>
          <w:rFonts w:eastAsia="SimSun"/>
          <w:szCs w:val="22"/>
        </w:rPr>
        <w:t>number of trial participan</w:t>
      </w:r>
      <w:r w:rsidRPr="00970547">
        <w:rPr>
          <w:rFonts w:eastAsia="SimSun"/>
          <w:szCs w:val="22"/>
        </w:rPr>
        <w:t>ts, location</w:t>
      </w:r>
      <w:r>
        <w:rPr>
          <w:rFonts w:eastAsia="SimSun"/>
          <w:szCs w:val="22"/>
        </w:rPr>
        <w:t>s</w:t>
      </w:r>
      <w:r w:rsidRPr="00970547">
        <w:rPr>
          <w:rFonts w:eastAsia="SimSun"/>
          <w:szCs w:val="22"/>
        </w:rPr>
        <w:t xml:space="preserve"> limited to hospitals and clinical trial sites, </w:t>
      </w:r>
      <w:r>
        <w:rPr>
          <w:rFonts w:eastAsia="SimSun"/>
          <w:szCs w:val="22"/>
        </w:rPr>
        <w:t xml:space="preserve">limits on the </w:t>
      </w:r>
      <w:r w:rsidRPr="00970547">
        <w:rPr>
          <w:rFonts w:eastAsia="SimSun"/>
          <w:szCs w:val="22"/>
        </w:rPr>
        <w:t>duration of the trial, as well as a range of controls to minimise the</w:t>
      </w:r>
      <w:r w:rsidRPr="00961290">
        <w:rPr>
          <w:rFonts w:eastAsia="SimSun"/>
          <w:szCs w:val="22"/>
        </w:rPr>
        <w:t xml:space="preserve"> potential for the GMO to spread in the environment. In addition, there are several general conditions relating to ongoing licence holder suitability, auditing and monitoring, and reporting requirements which include an obligation to report any unintended effects.</w:t>
      </w:r>
    </w:p>
    <w:sectPr w:rsidR="00280050" w:rsidSect="008220EE">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EA6" w:rsidRDefault="008A1EA6" w:rsidP="008A1EA6">
      <w:pPr>
        <w:spacing w:before="0" w:after="0"/>
      </w:pPr>
      <w:r>
        <w:separator/>
      </w:r>
    </w:p>
  </w:endnote>
  <w:endnote w:type="continuationSeparator" w:id="0">
    <w:p w:rsidR="008A1EA6" w:rsidRDefault="008A1EA6" w:rsidP="008A1E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0EE" w:rsidRPr="00236287" w:rsidRDefault="008220EE" w:rsidP="008220EE">
    <w:pPr>
      <w:pBdr>
        <w:top w:val="single" w:sz="8" w:space="1" w:color="auto"/>
      </w:pBdr>
      <w:jc w:val="center"/>
      <w:rPr>
        <w:rFonts w:cs="Calibri"/>
        <w:noProof/>
        <w:sz w:val="20"/>
        <w:szCs w:val="20"/>
      </w:rPr>
    </w:pPr>
    <w:r w:rsidRPr="00236287">
      <w:rPr>
        <w:rFonts w:cs="Calibri"/>
        <w:noProof/>
        <w:sz w:val="20"/>
        <w:szCs w:val="20"/>
      </w:rPr>
      <w:t>Address: MDP 54 GPO Box 9848, Canberra ACT 2601  Website: www.ogtr.gov.au</w:t>
    </w:r>
  </w:p>
  <w:p w:rsidR="008220EE" w:rsidRPr="004A40C5" w:rsidRDefault="008220EE" w:rsidP="008220EE">
    <w:pPr>
      <w:pStyle w:val="Footer"/>
      <w:jc w:val="center"/>
      <w:rPr>
        <w:rFonts w:cs="Calibri"/>
        <w:sz w:val="20"/>
        <w:szCs w:val="20"/>
      </w:rPr>
    </w:pPr>
    <w:r w:rsidRPr="00236287">
      <w:rPr>
        <w:rFonts w:cs="Calibri"/>
        <w:noProof/>
        <w:sz w:val="20"/>
        <w:szCs w:val="20"/>
      </w:rPr>
      <w:t>Telephone: 1800 181 030  Email: ogtr@health.gov.au</w:t>
    </w:r>
  </w:p>
  <w:p w:rsidR="008220EE" w:rsidRDefault="00822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EA6" w:rsidRDefault="008A1EA6" w:rsidP="008A1EA6">
      <w:pPr>
        <w:spacing w:before="0" w:after="0"/>
      </w:pPr>
      <w:r>
        <w:separator/>
      </w:r>
    </w:p>
  </w:footnote>
  <w:footnote w:type="continuationSeparator" w:id="0">
    <w:p w:rsidR="008A1EA6" w:rsidRDefault="008A1EA6" w:rsidP="008A1EA6">
      <w:pPr>
        <w:spacing w:before="0" w:after="0"/>
      </w:pPr>
      <w:r>
        <w:continuationSeparator/>
      </w:r>
    </w:p>
  </w:footnote>
  <w:footnote w:id="1">
    <w:p w:rsidR="008A1EA6" w:rsidRPr="00EE76E9" w:rsidRDefault="008A1EA6" w:rsidP="008A1EA6">
      <w:pPr>
        <w:autoSpaceDE w:val="0"/>
        <w:autoSpaceDN w:val="0"/>
        <w:adjustRightInd w:val="0"/>
        <w:rPr>
          <w:rFonts w:asciiTheme="minorHAnsi" w:hAnsiTheme="minorHAnsi" w:cstheme="minorHAnsi"/>
          <w:szCs w:val="22"/>
        </w:rPr>
      </w:pPr>
      <w:r w:rsidRPr="00EE76E9">
        <w:rPr>
          <w:rStyle w:val="FootnoteReference"/>
          <w:rFonts w:asciiTheme="minorHAnsi" w:hAnsiTheme="minorHAnsi" w:cstheme="minorHAnsi"/>
          <w:szCs w:val="22"/>
        </w:rPr>
        <w:footnoteRef/>
      </w:r>
      <w:r w:rsidRPr="00EE76E9">
        <w:rPr>
          <w:rFonts w:asciiTheme="minorHAnsi" w:hAnsiTheme="minorHAnsi" w:cstheme="minorHAnsi"/>
          <w:szCs w:val="22"/>
        </w:rPr>
        <w:t xml:space="preserve"> The title of the licence application submitted by </w:t>
      </w:r>
      <w:proofErr w:type="spellStart"/>
      <w:r w:rsidRPr="00EE76E9">
        <w:rPr>
          <w:rFonts w:asciiTheme="minorHAnsi" w:hAnsiTheme="minorHAnsi" w:cstheme="minorHAnsi"/>
          <w:szCs w:val="22"/>
        </w:rPr>
        <w:t>Avance</w:t>
      </w:r>
      <w:proofErr w:type="spellEnd"/>
      <w:r w:rsidRPr="00EE76E9">
        <w:rPr>
          <w:rFonts w:asciiTheme="minorHAnsi" w:hAnsiTheme="minorHAnsi" w:cstheme="minorHAnsi"/>
          <w:szCs w:val="22"/>
        </w:rPr>
        <w:t xml:space="preserve"> Clinical Pty Ltd is “Clinical development of an Adenovirus Vector SARS-CoV-2 vaccine (SC-Ad6-1-002) given by intranasal administration to prevent COVID-19”.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0EE" w:rsidRDefault="008220EE" w:rsidP="008220EE">
    <w:pPr>
      <w:pStyle w:val="Header"/>
    </w:pPr>
    <w:r w:rsidRPr="00542559">
      <w:rPr>
        <w:rFonts w:cs="Calibri"/>
        <w:noProof/>
        <w:szCs w:val="22"/>
      </w:rPr>
      <w:drawing>
        <wp:inline distT="0" distB="0" distL="0" distR="0" wp14:anchorId="1105160A" wp14:editId="0B2B41E5">
          <wp:extent cx="3337200" cy="950400"/>
          <wp:effectExtent l="0" t="0" r="0" b="2540"/>
          <wp:docPr id="2" name="Picture 2"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7200" cy="950400"/>
                  </a:xfrm>
                  <a:prstGeom prst="rect">
                    <a:avLst/>
                  </a:prstGeom>
                  <a:noFill/>
                  <a:ln>
                    <a:noFill/>
                  </a:ln>
                </pic:spPr>
              </pic:pic>
            </a:graphicData>
          </a:graphic>
        </wp:inline>
      </w:drawing>
    </w:r>
    <w:r>
      <w:t xml:space="preserve">                                                    25 June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25921E40"/>
    <w:multiLevelType w:val="hybridMultilevel"/>
    <w:tmpl w:val="47481DD8"/>
    <w:lvl w:ilvl="0" w:tplc="0C090003">
      <w:start w:val="1"/>
      <w:numFmt w:val="bullet"/>
      <w:lvlText w:val="o"/>
      <w:lvlJc w:val="left"/>
      <w:pPr>
        <w:ind w:left="1125" w:hanging="360"/>
      </w:pPr>
      <w:rPr>
        <w:rFonts w:ascii="Courier New" w:hAnsi="Courier New" w:cs="Courier New"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2" w15:restartNumberingAfterBreak="0">
    <w:nsid w:val="3A30062E"/>
    <w:multiLevelType w:val="multilevel"/>
    <w:tmpl w:val="2C02D20A"/>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284"/>
        </w:tabs>
        <w:ind w:left="0" w:firstLine="0"/>
      </w:pPr>
      <w:rPr>
        <w:rFonts w:ascii="Arial" w:hAnsi="Arial" w:cs="Arial" w:hint="default"/>
        <w:b/>
        <w:bCs/>
        <w:i/>
        <w:iCs/>
        <w:sz w:val="28"/>
        <w:szCs w:val="28"/>
        <w:u w:val="none"/>
      </w:rPr>
    </w:lvl>
    <w:lvl w:ilvl="2">
      <w:start w:val="1"/>
      <w:numFmt w:val="decimal"/>
      <w:pStyle w:val="Heading3"/>
      <w:lvlText w:val="%2.%3"/>
      <w:lvlJc w:val="left"/>
      <w:pPr>
        <w:tabs>
          <w:tab w:val="num" w:pos="2836"/>
        </w:tabs>
        <w:ind w:left="2552"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30D0491"/>
    <w:multiLevelType w:val="hybridMultilevel"/>
    <w:tmpl w:val="C4125AB4"/>
    <w:lvl w:ilvl="0" w:tplc="103C176E">
      <w:start w:val="1"/>
      <w:numFmt w:val="decimal"/>
      <w:pStyle w:val="RARMPnumberedparagraphs"/>
      <w:lvlText w:val="%1."/>
      <w:lvlJc w:val="left"/>
      <w:pPr>
        <w:ind w:left="8441"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55" w:hanging="360"/>
      </w:pPr>
    </w:lvl>
    <w:lvl w:ilvl="2" w:tplc="0C09001B">
      <w:start w:val="1"/>
      <w:numFmt w:val="lowerRoman"/>
      <w:lvlText w:val="%3."/>
      <w:lvlJc w:val="right"/>
      <w:pPr>
        <w:ind w:left="1375" w:hanging="180"/>
      </w:pPr>
    </w:lvl>
    <w:lvl w:ilvl="3" w:tplc="0C09000F">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4" w15:restartNumberingAfterBreak="0">
    <w:nsid w:val="48AC2295"/>
    <w:multiLevelType w:val="hybridMultilevel"/>
    <w:tmpl w:val="11A4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CF66DD"/>
    <w:multiLevelType w:val="hybridMultilevel"/>
    <w:tmpl w:val="1228E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F547FF"/>
    <w:multiLevelType w:val="hybridMultilevel"/>
    <w:tmpl w:val="D4685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EA6"/>
    <w:rsid w:val="0009657C"/>
    <w:rsid w:val="00280050"/>
    <w:rsid w:val="004824A6"/>
    <w:rsid w:val="008220EE"/>
    <w:rsid w:val="008A1EA6"/>
    <w:rsid w:val="00CA6CB2"/>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6338F44-4723-40EA-AA7C-8107AC79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EA6"/>
    <w:pPr>
      <w:spacing w:before="120" w:after="120" w:line="240" w:lineRule="auto"/>
    </w:pPr>
    <w:rPr>
      <w:rFonts w:ascii="Calibri" w:eastAsia="Times New Roman" w:hAnsi="Calibri"/>
      <w:sz w:val="22"/>
      <w:lang w:eastAsia="en-AU"/>
    </w:rPr>
  </w:style>
  <w:style w:type="paragraph" w:styleId="Heading1">
    <w:name w:val="heading 1"/>
    <w:basedOn w:val="Normal"/>
    <w:next w:val="Normal"/>
    <w:link w:val="Heading1Char"/>
    <w:autoRedefine/>
    <w:qFormat/>
    <w:rsid w:val="008220EE"/>
    <w:pPr>
      <w:keepNext/>
      <w:tabs>
        <w:tab w:val="left" w:pos="2268"/>
      </w:tabs>
      <w:spacing w:before="240" w:after="60"/>
      <w:ind w:left="1814" w:right="-188" w:hanging="1814"/>
      <w:jc w:val="center"/>
      <w:outlineLvl w:val="0"/>
    </w:pPr>
    <w:rPr>
      <w:rFonts w:cs="Arial"/>
      <w:b/>
      <w:snapToGrid w:val="0"/>
      <w:sz w:val="36"/>
      <w:szCs w:val="36"/>
      <w:lang w:eastAsia="en-US"/>
    </w:rPr>
  </w:style>
  <w:style w:type="paragraph" w:styleId="Heading2">
    <w:name w:val="heading 2"/>
    <w:basedOn w:val="Normal"/>
    <w:next w:val="Normal"/>
    <w:link w:val="Heading2Char"/>
    <w:qFormat/>
    <w:rsid w:val="008A1EA6"/>
    <w:pPr>
      <w:keepNext/>
      <w:numPr>
        <w:ilvl w:val="1"/>
        <w:numId w:val="3"/>
      </w:numPr>
      <w:tabs>
        <w:tab w:val="left" w:pos="1418"/>
      </w:tabs>
      <w:spacing w:before="240" w:after="60"/>
      <w:outlineLvl w:val="1"/>
    </w:pPr>
    <w:rPr>
      <w:b/>
      <w:i/>
      <w:sz w:val="28"/>
      <w:szCs w:val="28"/>
    </w:rPr>
  </w:style>
  <w:style w:type="paragraph" w:styleId="Heading3">
    <w:name w:val="heading 3"/>
    <w:basedOn w:val="Normal"/>
    <w:next w:val="Normal"/>
    <w:link w:val="Heading3Char"/>
    <w:qFormat/>
    <w:rsid w:val="008A1EA6"/>
    <w:pPr>
      <w:keepNext/>
      <w:numPr>
        <w:ilvl w:val="2"/>
        <w:numId w:val="3"/>
      </w:numPr>
      <w:tabs>
        <w:tab w:val="left" w:pos="851"/>
      </w:tabs>
      <w:outlineLvl w:val="2"/>
    </w:pPr>
    <w:rPr>
      <w:rFonts w:ascii="Arial (W1)" w:hAnsi="Arial (W1)"/>
      <w:b/>
      <w:szCs w:val="20"/>
    </w:rPr>
  </w:style>
  <w:style w:type="paragraph" w:styleId="Heading4">
    <w:name w:val="heading 4"/>
    <w:basedOn w:val="Normal"/>
    <w:next w:val="Normal"/>
    <w:link w:val="Heading4Char"/>
    <w:qFormat/>
    <w:rsid w:val="008A1EA6"/>
    <w:pPr>
      <w:keepNext/>
      <w:numPr>
        <w:ilvl w:val="3"/>
        <w:numId w:val="3"/>
      </w:numPr>
      <w:tabs>
        <w:tab w:val="left" w:pos="851"/>
      </w:tabs>
      <w:outlineLvl w:val="3"/>
    </w:pPr>
    <w:rPr>
      <w:rFonts w:ascii="Arial (W1)" w:hAnsi="Arial (W1)"/>
      <w:b/>
      <w:i/>
      <w:szCs w:val="22"/>
    </w:rPr>
  </w:style>
  <w:style w:type="paragraph" w:styleId="Heading5">
    <w:name w:val="heading 5"/>
    <w:basedOn w:val="Normal"/>
    <w:next w:val="Normal"/>
    <w:link w:val="Heading5Char"/>
    <w:qFormat/>
    <w:rsid w:val="008A1EA6"/>
    <w:pPr>
      <w:keepNext/>
      <w:numPr>
        <w:ilvl w:val="4"/>
        <w:numId w:val="3"/>
      </w:numPr>
      <w:spacing w:before="240" w:after="60"/>
      <w:outlineLvl w:val="4"/>
    </w:pPr>
    <w:rPr>
      <w:bCs/>
      <w:iCs/>
      <w:u w:val="single"/>
    </w:rPr>
  </w:style>
  <w:style w:type="paragraph" w:styleId="Heading6">
    <w:name w:val="heading 6"/>
    <w:basedOn w:val="Normal"/>
    <w:next w:val="Normal"/>
    <w:link w:val="Heading6Char"/>
    <w:unhideWhenUsed/>
    <w:qFormat/>
    <w:rsid w:val="008A1EA6"/>
    <w:pPr>
      <w:numPr>
        <w:ilvl w:val="5"/>
        <w:numId w:val="3"/>
      </w:numPr>
      <w:spacing w:before="240" w:after="60"/>
      <w:outlineLvl w:val="5"/>
    </w:pPr>
    <w:rPr>
      <w:b/>
      <w:bCs/>
      <w:szCs w:val="22"/>
    </w:rPr>
  </w:style>
  <w:style w:type="paragraph" w:styleId="Heading7">
    <w:name w:val="heading 7"/>
    <w:basedOn w:val="Normal"/>
    <w:next w:val="Normal"/>
    <w:link w:val="Heading7Char"/>
    <w:unhideWhenUsed/>
    <w:qFormat/>
    <w:rsid w:val="008A1EA6"/>
    <w:pPr>
      <w:numPr>
        <w:ilvl w:val="6"/>
        <w:numId w:val="3"/>
      </w:numPr>
      <w:spacing w:before="240" w:after="60"/>
      <w:outlineLvl w:val="6"/>
    </w:pPr>
  </w:style>
  <w:style w:type="paragraph" w:styleId="Heading8">
    <w:name w:val="heading 8"/>
    <w:basedOn w:val="Normal"/>
    <w:next w:val="Normal"/>
    <w:link w:val="Heading8Char"/>
    <w:qFormat/>
    <w:rsid w:val="008A1EA6"/>
    <w:pPr>
      <w:numPr>
        <w:ilvl w:val="7"/>
        <w:numId w:val="3"/>
      </w:numPr>
      <w:spacing w:before="240" w:after="60"/>
      <w:outlineLvl w:val="7"/>
    </w:pPr>
    <w:rPr>
      <w:i/>
      <w:iCs/>
    </w:rPr>
  </w:style>
  <w:style w:type="paragraph" w:styleId="Heading9">
    <w:name w:val="heading 9"/>
    <w:basedOn w:val="Normal"/>
    <w:next w:val="Normal"/>
    <w:link w:val="Heading9Char"/>
    <w:unhideWhenUsed/>
    <w:qFormat/>
    <w:rsid w:val="008A1EA6"/>
    <w:pPr>
      <w:numPr>
        <w:ilvl w:val="8"/>
        <w:numId w:val="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0EE"/>
    <w:rPr>
      <w:rFonts w:ascii="Calibri" w:eastAsia="Times New Roman" w:hAnsi="Calibri" w:cs="Arial"/>
      <w:b/>
      <w:snapToGrid w:val="0"/>
      <w:sz w:val="36"/>
      <w:szCs w:val="36"/>
    </w:rPr>
  </w:style>
  <w:style w:type="character" w:customStyle="1" w:styleId="Heading2Char">
    <w:name w:val="Heading 2 Char"/>
    <w:basedOn w:val="DefaultParagraphFont"/>
    <w:link w:val="Heading2"/>
    <w:rsid w:val="008A1EA6"/>
    <w:rPr>
      <w:rFonts w:ascii="Calibri" w:eastAsia="Times New Roman" w:hAnsi="Calibri"/>
      <w:b/>
      <w:i/>
      <w:sz w:val="28"/>
      <w:szCs w:val="28"/>
      <w:lang w:eastAsia="en-AU"/>
    </w:rPr>
  </w:style>
  <w:style w:type="character" w:customStyle="1" w:styleId="Heading3Char">
    <w:name w:val="Heading 3 Char"/>
    <w:basedOn w:val="DefaultParagraphFont"/>
    <w:link w:val="Heading3"/>
    <w:rsid w:val="008A1EA6"/>
    <w:rPr>
      <w:rFonts w:ascii="Arial (W1)" w:eastAsia="Times New Roman" w:hAnsi="Arial (W1)"/>
      <w:b/>
      <w:sz w:val="22"/>
      <w:szCs w:val="20"/>
      <w:lang w:eastAsia="en-AU"/>
    </w:rPr>
  </w:style>
  <w:style w:type="character" w:customStyle="1" w:styleId="Heading4Char">
    <w:name w:val="Heading 4 Char"/>
    <w:basedOn w:val="DefaultParagraphFont"/>
    <w:link w:val="Heading4"/>
    <w:rsid w:val="008A1EA6"/>
    <w:rPr>
      <w:rFonts w:ascii="Arial (W1)" w:eastAsia="Times New Roman" w:hAnsi="Arial (W1)"/>
      <w:b/>
      <w:i/>
      <w:sz w:val="22"/>
      <w:szCs w:val="22"/>
      <w:lang w:eastAsia="en-AU"/>
    </w:rPr>
  </w:style>
  <w:style w:type="character" w:customStyle="1" w:styleId="Heading5Char">
    <w:name w:val="Heading 5 Char"/>
    <w:basedOn w:val="DefaultParagraphFont"/>
    <w:link w:val="Heading5"/>
    <w:rsid w:val="008A1EA6"/>
    <w:rPr>
      <w:rFonts w:ascii="Calibri" w:eastAsia="Times New Roman" w:hAnsi="Calibri"/>
      <w:bCs/>
      <w:iCs/>
      <w:sz w:val="22"/>
      <w:u w:val="single"/>
      <w:lang w:eastAsia="en-AU"/>
    </w:rPr>
  </w:style>
  <w:style w:type="character" w:customStyle="1" w:styleId="Heading6Char">
    <w:name w:val="Heading 6 Char"/>
    <w:basedOn w:val="DefaultParagraphFont"/>
    <w:link w:val="Heading6"/>
    <w:rsid w:val="008A1EA6"/>
    <w:rPr>
      <w:rFonts w:ascii="Calibri" w:eastAsia="Times New Roman" w:hAnsi="Calibri"/>
      <w:b/>
      <w:bCs/>
      <w:sz w:val="22"/>
      <w:szCs w:val="22"/>
      <w:lang w:eastAsia="en-AU"/>
    </w:rPr>
  </w:style>
  <w:style w:type="character" w:customStyle="1" w:styleId="Heading7Char">
    <w:name w:val="Heading 7 Char"/>
    <w:basedOn w:val="DefaultParagraphFont"/>
    <w:link w:val="Heading7"/>
    <w:rsid w:val="008A1EA6"/>
    <w:rPr>
      <w:rFonts w:ascii="Calibri" w:eastAsia="Times New Roman" w:hAnsi="Calibri"/>
      <w:sz w:val="22"/>
      <w:lang w:eastAsia="en-AU"/>
    </w:rPr>
  </w:style>
  <w:style w:type="character" w:customStyle="1" w:styleId="Heading8Char">
    <w:name w:val="Heading 8 Char"/>
    <w:basedOn w:val="DefaultParagraphFont"/>
    <w:link w:val="Heading8"/>
    <w:rsid w:val="008A1EA6"/>
    <w:rPr>
      <w:rFonts w:ascii="Calibri" w:eastAsia="Times New Roman" w:hAnsi="Calibri"/>
      <w:i/>
      <w:iCs/>
      <w:sz w:val="22"/>
      <w:lang w:eastAsia="en-AU"/>
    </w:rPr>
  </w:style>
  <w:style w:type="character" w:customStyle="1" w:styleId="Heading9Char">
    <w:name w:val="Heading 9 Char"/>
    <w:basedOn w:val="DefaultParagraphFont"/>
    <w:link w:val="Heading9"/>
    <w:rsid w:val="008A1EA6"/>
    <w:rPr>
      <w:rFonts w:ascii="Arial" w:eastAsia="Times New Roman" w:hAnsi="Arial" w:cs="Arial"/>
      <w:sz w:val="22"/>
      <w:szCs w:val="22"/>
      <w:lang w:eastAsia="en-AU"/>
    </w:rPr>
  </w:style>
  <w:style w:type="character" w:styleId="FootnoteReference">
    <w:name w:val="footnote reference"/>
    <w:rsid w:val="008A1EA6"/>
    <w:rPr>
      <w:vertAlign w:val="superscript"/>
    </w:rPr>
  </w:style>
  <w:style w:type="paragraph" w:customStyle="1" w:styleId="RARMPnumberedparagraphs">
    <w:name w:val="RARMP numbered paragraphs"/>
    <w:basedOn w:val="ListParagraph"/>
    <w:link w:val="RARMPnumberedparagraphsChar"/>
    <w:qFormat/>
    <w:rsid w:val="008A1EA6"/>
    <w:pPr>
      <w:numPr>
        <w:numId w:val="1"/>
      </w:numPr>
      <w:tabs>
        <w:tab w:val="num" w:pos="567"/>
      </w:tabs>
      <w:ind w:left="0" w:firstLine="0"/>
    </w:pPr>
    <w:rPr>
      <w:rFonts w:eastAsia="Times New Roman"/>
      <w:lang w:eastAsia="en-AU"/>
    </w:rPr>
  </w:style>
  <w:style w:type="character" w:styleId="Hyperlink">
    <w:name w:val="Hyperlink"/>
    <w:basedOn w:val="DefaultParagraphFont"/>
    <w:uiPriority w:val="99"/>
    <w:rsid w:val="008A1EA6"/>
    <w:rPr>
      <w:u w:val="single"/>
    </w:rPr>
  </w:style>
  <w:style w:type="character" w:customStyle="1" w:styleId="ListParagraphChar">
    <w:name w:val="List Paragraph Char"/>
    <w:basedOn w:val="DefaultParagraphFont"/>
    <w:link w:val="ListParagraph"/>
    <w:uiPriority w:val="34"/>
    <w:rsid w:val="008A1EA6"/>
    <w:rPr>
      <w:rFonts w:ascii="Calibri" w:hAnsi="Calibri"/>
      <w:sz w:val="22"/>
    </w:rPr>
  </w:style>
  <w:style w:type="character" w:customStyle="1" w:styleId="RARMPnumberedparagraphsChar">
    <w:name w:val="RARMP numbered paragraphs Char"/>
    <w:basedOn w:val="ListParagraphChar"/>
    <w:link w:val="RARMPnumberedparagraphs"/>
    <w:rsid w:val="008A1EA6"/>
    <w:rPr>
      <w:rFonts w:ascii="Calibri" w:eastAsia="Times New Roman" w:hAnsi="Calibri"/>
      <w:sz w:val="22"/>
      <w:lang w:eastAsia="en-AU"/>
    </w:rPr>
  </w:style>
  <w:style w:type="paragraph" w:styleId="ListParagraph">
    <w:name w:val="List Paragraph"/>
    <w:basedOn w:val="Normal"/>
    <w:link w:val="ListParagraphChar"/>
    <w:uiPriority w:val="34"/>
    <w:qFormat/>
    <w:rsid w:val="008A1EA6"/>
    <w:pPr>
      <w:ind w:left="720"/>
    </w:pPr>
    <w:rPr>
      <w:rFonts w:eastAsiaTheme="minorHAnsi"/>
      <w:lang w:eastAsia="en-US"/>
    </w:rPr>
  </w:style>
  <w:style w:type="paragraph" w:customStyle="1" w:styleId="Para">
    <w:name w:val="Para"/>
    <w:basedOn w:val="Normal"/>
    <w:link w:val="ParaCharChar"/>
    <w:autoRedefine/>
    <w:rsid w:val="008A1EA6"/>
    <w:pPr>
      <w:numPr>
        <w:numId w:val="2"/>
      </w:numPr>
      <w:tabs>
        <w:tab w:val="clear" w:pos="6755"/>
        <w:tab w:val="left" w:pos="567"/>
        <w:tab w:val="num" w:pos="771"/>
      </w:tabs>
    </w:pPr>
    <w:rPr>
      <w:rFonts w:ascii="Times New Roman" w:hAnsi="Times New Roman"/>
      <w:sz w:val="24"/>
    </w:rPr>
  </w:style>
  <w:style w:type="paragraph" w:customStyle="1" w:styleId="RIGHTLIST">
    <w:name w:val="RIGHTLIST"/>
    <w:basedOn w:val="Normal"/>
    <w:link w:val="RIGHTLISTChar"/>
    <w:rsid w:val="008A1EA6"/>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8A1EA6"/>
    <w:rPr>
      <w:rFonts w:eastAsia="Times New Roman"/>
      <w:sz w:val="22"/>
      <w:szCs w:val="22"/>
      <w:lang w:eastAsia="en-AU"/>
    </w:rPr>
  </w:style>
  <w:style w:type="character" w:customStyle="1" w:styleId="ParaCharChar">
    <w:name w:val="Para Char Char"/>
    <w:basedOn w:val="DefaultParagraphFont"/>
    <w:link w:val="Para"/>
    <w:locked/>
    <w:rsid w:val="008A1EA6"/>
    <w:rPr>
      <w:rFonts w:eastAsia="Times New Roman"/>
      <w:lang w:eastAsia="en-AU"/>
    </w:rPr>
  </w:style>
  <w:style w:type="paragraph" w:styleId="Header">
    <w:name w:val="header"/>
    <w:basedOn w:val="Normal"/>
    <w:link w:val="HeaderChar"/>
    <w:uiPriority w:val="99"/>
    <w:unhideWhenUsed/>
    <w:rsid w:val="008A1EA6"/>
    <w:pPr>
      <w:tabs>
        <w:tab w:val="center" w:pos="4513"/>
        <w:tab w:val="right" w:pos="9026"/>
      </w:tabs>
      <w:spacing w:before="0" w:after="0"/>
    </w:pPr>
  </w:style>
  <w:style w:type="character" w:customStyle="1" w:styleId="HeaderChar">
    <w:name w:val="Header Char"/>
    <w:basedOn w:val="DefaultParagraphFont"/>
    <w:link w:val="Header"/>
    <w:uiPriority w:val="99"/>
    <w:rsid w:val="008A1EA6"/>
    <w:rPr>
      <w:rFonts w:ascii="Calibri" w:eastAsia="Times New Roman" w:hAnsi="Calibri"/>
      <w:sz w:val="22"/>
      <w:lang w:eastAsia="en-AU"/>
    </w:rPr>
  </w:style>
  <w:style w:type="paragraph" w:styleId="Footer">
    <w:name w:val="footer"/>
    <w:basedOn w:val="Normal"/>
    <w:link w:val="FooterChar"/>
    <w:uiPriority w:val="99"/>
    <w:unhideWhenUsed/>
    <w:rsid w:val="008A1EA6"/>
    <w:pPr>
      <w:tabs>
        <w:tab w:val="center" w:pos="4513"/>
        <w:tab w:val="right" w:pos="9026"/>
      </w:tabs>
      <w:spacing w:before="0" w:after="0"/>
    </w:pPr>
  </w:style>
  <w:style w:type="character" w:customStyle="1" w:styleId="FooterChar">
    <w:name w:val="Footer Char"/>
    <w:basedOn w:val="DefaultParagraphFont"/>
    <w:link w:val="Footer"/>
    <w:uiPriority w:val="99"/>
    <w:rsid w:val="008A1EA6"/>
    <w:rPr>
      <w:rFonts w:ascii="Calibri" w:eastAsia="Times New Roman" w:hAnsi="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ublication/note-guidance-good-clinical-practice" TargetMode="External"/><Relationship Id="rId3" Type="http://schemas.openxmlformats.org/officeDocument/2006/relationships/settings" Target="settings.xml"/><Relationship Id="rId7" Type="http://schemas.openxmlformats.org/officeDocument/2006/relationships/hyperlink" Target="https://www.nhmrc.gov.au/about-us/publications/national-statement-ethical-conduct-human-research-2007-updated-20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184 - Summary of Risk Assessment and Risk Management Plan</dc:title>
  <dc:subject/>
  <dc:creator>OGTR.Voicemail@health.gov.au</dc:creator>
  <cp:keywords/>
  <dc:description/>
  <cp:lastModifiedBy>SMITH, Justine</cp:lastModifiedBy>
  <cp:revision>2</cp:revision>
  <dcterms:created xsi:type="dcterms:W3CDTF">2021-06-24T21:44:00Z</dcterms:created>
  <dcterms:modified xsi:type="dcterms:W3CDTF">2021-06-24T21:44:00Z</dcterms:modified>
</cp:coreProperties>
</file>