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A6" w:rsidRPr="0000143A" w:rsidRDefault="008A1EA6" w:rsidP="00AB197B">
      <w:pPr>
        <w:pStyle w:val="Heading1"/>
      </w:pPr>
      <w:bookmarkStart w:id="0" w:name="_Toc47536733"/>
      <w:bookmarkStart w:id="1" w:name="_Toc73427546"/>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00143A">
        <w:t>Summary of the Risk Assessment and Risk Management Plan</w:t>
      </w:r>
      <w:bookmarkEnd w:id="0"/>
      <w:bookmarkEnd w:id="1"/>
    </w:p>
    <w:p w:rsidR="008A1EA6" w:rsidRPr="0000143A" w:rsidRDefault="008A1EA6" w:rsidP="0009657C">
      <w:pPr>
        <w:keepNext/>
        <w:ind w:right="-188"/>
        <w:jc w:val="center"/>
        <w:rPr>
          <w:rFonts w:cs="Arial"/>
          <w:b/>
          <w:bCs/>
          <w:kern w:val="32"/>
          <w:sz w:val="28"/>
          <w:szCs w:val="28"/>
          <w:lang w:eastAsia="en-US"/>
        </w:rPr>
      </w:pPr>
      <w:proofErr w:type="gramStart"/>
      <w:r w:rsidRPr="0000143A">
        <w:rPr>
          <w:rFonts w:cs="Arial"/>
          <w:b/>
          <w:bCs/>
          <w:kern w:val="32"/>
          <w:sz w:val="28"/>
          <w:szCs w:val="28"/>
          <w:lang w:eastAsia="en-US"/>
        </w:rPr>
        <w:t>for</w:t>
      </w:r>
      <w:proofErr w:type="gramEnd"/>
    </w:p>
    <w:p w:rsidR="008A1EA6" w:rsidRPr="00F736DB" w:rsidRDefault="008A1EA6" w:rsidP="0009657C">
      <w:pPr>
        <w:keepNext/>
        <w:ind w:right="-188"/>
        <w:jc w:val="center"/>
        <w:rPr>
          <w:rFonts w:cs="Arial"/>
          <w:b/>
          <w:bCs/>
          <w:kern w:val="32"/>
          <w:sz w:val="36"/>
          <w:szCs w:val="36"/>
          <w:lang w:eastAsia="en-US"/>
        </w:rPr>
      </w:pPr>
      <w:r w:rsidRPr="0000143A">
        <w:rPr>
          <w:rFonts w:cs="Arial"/>
          <w:b/>
          <w:bCs/>
          <w:kern w:val="32"/>
          <w:sz w:val="36"/>
          <w:szCs w:val="36"/>
          <w:lang w:eastAsia="en-US"/>
        </w:rPr>
        <w:t xml:space="preserve">Licence </w:t>
      </w:r>
      <w:r>
        <w:rPr>
          <w:rFonts w:cs="Arial"/>
          <w:b/>
          <w:bCs/>
          <w:kern w:val="32"/>
          <w:sz w:val="36"/>
          <w:szCs w:val="36"/>
          <w:lang w:eastAsia="en-US"/>
        </w:rPr>
        <w:t xml:space="preserve">Application DIR </w:t>
      </w:r>
      <w:r w:rsidRPr="002E7944">
        <w:rPr>
          <w:rFonts w:cs="Arial"/>
          <w:b/>
          <w:bCs/>
          <w:kern w:val="32"/>
          <w:sz w:val="36"/>
          <w:szCs w:val="36"/>
          <w:lang w:eastAsia="en-US"/>
        </w:rPr>
        <w:t>18</w:t>
      </w:r>
      <w:r w:rsidR="00AB197B">
        <w:rPr>
          <w:rFonts w:cs="Arial"/>
          <w:b/>
          <w:bCs/>
          <w:kern w:val="32"/>
          <w:sz w:val="36"/>
          <w:szCs w:val="36"/>
          <w:lang w:eastAsia="en-US"/>
        </w:rPr>
        <w:t>1</w:t>
      </w:r>
    </w:p>
    <w:p w:rsidR="008A1EA6" w:rsidRPr="00F736DB" w:rsidRDefault="008A1EA6" w:rsidP="00390732">
      <w:pPr>
        <w:pStyle w:val="Heading2"/>
      </w:pPr>
      <w:bookmarkStart w:id="10" w:name="_Toc73427547"/>
      <w:r>
        <w:t>Decision</w:t>
      </w:r>
      <w:bookmarkEnd w:id="10"/>
    </w:p>
    <w:p w:rsidR="00AB197B" w:rsidRPr="006011DB" w:rsidRDefault="00AB197B" w:rsidP="00CE7DE9">
      <w:pPr>
        <w:rPr>
          <w:rFonts w:asciiTheme="minorHAnsi" w:hAnsiTheme="minorHAnsi"/>
          <w:szCs w:val="22"/>
        </w:rPr>
      </w:pPr>
      <w:bookmarkStart w:id="11" w:name="_Toc342042135"/>
      <w:bookmarkStart w:id="12" w:name="_Toc47536735"/>
      <w:bookmarkStart w:id="13" w:name="_Toc291151777"/>
      <w:bookmarkStart w:id="14" w:name="_Toc274904727"/>
      <w:bookmarkStart w:id="15" w:name="_Toc209859548"/>
      <w:bookmarkStart w:id="16" w:name="_Toc73427548"/>
      <w:bookmarkEnd w:id="2"/>
      <w:bookmarkEnd w:id="3"/>
      <w:bookmarkEnd w:id="4"/>
      <w:bookmarkEnd w:id="5"/>
      <w:bookmarkEnd w:id="6"/>
      <w:bookmarkEnd w:id="7"/>
      <w:bookmarkEnd w:id="8"/>
      <w:bookmarkEnd w:id="9"/>
      <w:r w:rsidRPr="006011DB">
        <w:rPr>
          <w:rFonts w:asciiTheme="minorHAnsi" w:hAnsiTheme="minorHAnsi"/>
          <w:szCs w:val="22"/>
        </w:rPr>
        <w:t xml:space="preserve">The Gene Technology Regulator (the Regulator) has received a licence application to conduct a clinical trial using a genetically modified organism (GMO). It qualifies as a DIR licence application under the </w:t>
      </w:r>
      <w:r w:rsidRPr="006011DB">
        <w:rPr>
          <w:rFonts w:asciiTheme="minorHAnsi" w:hAnsiTheme="minorHAnsi"/>
          <w:i/>
          <w:szCs w:val="22"/>
        </w:rPr>
        <w:t>Gene Technology Act 2000</w:t>
      </w:r>
      <w:r w:rsidR="00CE7DE9">
        <w:rPr>
          <w:rFonts w:asciiTheme="minorHAnsi" w:hAnsiTheme="minorHAnsi"/>
          <w:szCs w:val="22"/>
        </w:rPr>
        <w:t xml:space="preserve"> (the Act).</w:t>
      </w:r>
    </w:p>
    <w:p w:rsidR="00AB197B" w:rsidRPr="00725B46" w:rsidRDefault="00AB197B" w:rsidP="00CE7DE9">
      <w:pPr>
        <w:rPr>
          <w:rFonts w:asciiTheme="minorHAnsi" w:hAnsiTheme="minorHAnsi"/>
          <w:szCs w:val="22"/>
        </w:rPr>
      </w:pPr>
      <w:r w:rsidRPr="006011DB">
        <w:rPr>
          <w:rFonts w:asciiTheme="minorHAnsi" w:hAnsiTheme="minorHAnsi"/>
          <w:szCs w:val="22"/>
        </w:rPr>
        <w:t xml:space="preserve">The applicant, </w:t>
      </w:r>
      <w:proofErr w:type="spellStart"/>
      <w:r w:rsidRPr="006011DB">
        <w:rPr>
          <w:szCs w:val="22"/>
        </w:rPr>
        <w:t>Novotech</w:t>
      </w:r>
      <w:proofErr w:type="spellEnd"/>
      <w:r w:rsidRPr="006011DB">
        <w:rPr>
          <w:szCs w:val="22"/>
        </w:rPr>
        <w:t xml:space="preserve"> (Australia) Pty Limited (</w:t>
      </w:r>
      <w:proofErr w:type="spellStart"/>
      <w:r w:rsidRPr="006011DB">
        <w:rPr>
          <w:szCs w:val="22"/>
        </w:rPr>
        <w:t>Novotech</w:t>
      </w:r>
      <w:proofErr w:type="spellEnd"/>
      <w:r w:rsidRPr="006011DB">
        <w:rPr>
          <w:szCs w:val="22"/>
        </w:rPr>
        <w:t>) proposes</w:t>
      </w:r>
      <w:r>
        <w:rPr>
          <w:szCs w:val="22"/>
        </w:rPr>
        <w:t xml:space="preserve"> to conduct a clinical trial </w:t>
      </w:r>
      <w:r>
        <w:rPr>
          <w:rFonts w:asciiTheme="minorHAnsi" w:hAnsiTheme="minorHAnsi" w:cstheme="minorHAnsi"/>
          <w:szCs w:val="22"/>
        </w:rPr>
        <w:t>of</w:t>
      </w:r>
      <w:r w:rsidRPr="00D57F6C">
        <w:rPr>
          <w:rFonts w:asciiTheme="minorHAnsi" w:hAnsiTheme="minorHAnsi" w:cstheme="minorHAnsi"/>
          <w:szCs w:val="22"/>
        </w:rPr>
        <w:t xml:space="preserve"> </w:t>
      </w:r>
      <w:r>
        <w:rPr>
          <w:rFonts w:asciiTheme="minorHAnsi" w:hAnsiTheme="minorHAnsi" w:cstheme="minorHAnsi"/>
          <w:szCs w:val="22"/>
        </w:rPr>
        <w:t xml:space="preserve">a </w:t>
      </w:r>
      <w:bookmarkStart w:id="17" w:name="_GoBack"/>
      <w:bookmarkEnd w:id="17"/>
      <w:r w:rsidRPr="00D57F6C">
        <w:rPr>
          <w:rFonts w:asciiTheme="minorHAnsi" w:hAnsiTheme="minorHAnsi" w:cstheme="minorHAnsi"/>
          <w:szCs w:val="22"/>
        </w:rPr>
        <w:t xml:space="preserve">genetically modified (GM) </w:t>
      </w:r>
      <w:r>
        <w:rPr>
          <w:rFonts w:asciiTheme="minorHAnsi" w:hAnsiTheme="minorHAnsi" w:cstheme="minorHAnsi"/>
          <w:i/>
          <w:szCs w:val="22"/>
        </w:rPr>
        <w:t>Herpes simplex</w:t>
      </w:r>
      <w:r w:rsidRPr="00D57F6C">
        <w:rPr>
          <w:rFonts w:asciiTheme="minorHAnsi" w:hAnsiTheme="minorHAnsi" w:cstheme="minorHAnsi"/>
          <w:i/>
          <w:szCs w:val="22"/>
        </w:rPr>
        <w:t xml:space="preserve"> </w:t>
      </w:r>
      <w:r w:rsidRPr="002D4D50">
        <w:rPr>
          <w:rFonts w:asciiTheme="minorHAnsi" w:hAnsiTheme="minorHAnsi" w:cstheme="minorHAnsi"/>
          <w:i/>
          <w:szCs w:val="22"/>
        </w:rPr>
        <w:t>virus</w:t>
      </w:r>
      <w:r>
        <w:rPr>
          <w:rFonts w:asciiTheme="minorHAnsi" w:hAnsiTheme="minorHAnsi" w:cstheme="minorHAnsi"/>
          <w:i/>
          <w:szCs w:val="22"/>
        </w:rPr>
        <w:t>-1</w:t>
      </w:r>
      <w:r w:rsidRPr="002D4D50">
        <w:rPr>
          <w:rFonts w:asciiTheme="minorHAnsi" w:hAnsiTheme="minorHAnsi" w:cstheme="minorHAnsi"/>
          <w:szCs w:val="22"/>
        </w:rPr>
        <w:t xml:space="preserve"> </w:t>
      </w:r>
      <w:r>
        <w:rPr>
          <w:rFonts w:asciiTheme="minorHAnsi" w:hAnsiTheme="minorHAnsi" w:cstheme="minorHAnsi"/>
          <w:szCs w:val="22"/>
        </w:rPr>
        <w:t>(HSV-1) as a gene therapy treatment for</w:t>
      </w:r>
      <w:r w:rsidRPr="002D4D50">
        <w:rPr>
          <w:rFonts w:asciiTheme="minorHAnsi" w:hAnsiTheme="minorHAnsi" w:cstheme="minorHAnsi"/>
          <w:szCs w:val="22"/>
        </w:rPr>
        <w:t xml:space="preserve"> </w:t>
      </w:r>
      <w:r>
        <w:rPr>
          <w:rFonts w:asciiTheme="minorHAnsi" w:hAnsiTheme="minorHAnsi" w:cstheme="minorHAnsi"/>
          <w:szCs w:val="22"/>
        </w:rPr>
        <w:t xml:space="preserve">adult </w:t>
      </w:r>
      <w:r w:rsidRPr="002D4D50">
        <w:rPr>
          <w:rFonts w:asciiTheme="minorHAnsi" w:hAnsiTheme="minorHAnsi" w:cstheme="minorHAnsi"/>
          <w:szCs w:val="22"/>
        </w:rPr>
        <w:t xml:space="preserve">patients with </w:t>
      </w:r>
      <w:r>
        <w:rPr>
          <w:rFonts w:asciiTheme="minorHAnsi" w:hAnsiTheme="minorHAnsi" w:cstheme="minorHAnsi"/>
          <w:szCs w:val="22"/>
        </w:rPr>
        <w:t>cystic fibrosis</w:t>
      </w:r>
      <w:r w:rsidRPr="002D4D50">
        <w:rPr>
          <w:rFonts w:asciiTheme="minorHAnsi" w:hAnsiTheme="minorHAnsi" w:cstheme="minorHAnsi"/>
          <w:szCs w:val="22"/>
        </w:rPr>
        <w:t>.</w:t>
      </w:r>
      <w:r>
        <w:rPr>
          <w:rFonts w:asciiTheme="minorHAnsi" w:hAnsiTheme="minorHAnsi" w:cstheme="minorHAnsi"/>
          <w:szCs w:val="22"/>
        </w:rPr>
        <w:t xml:space="preserve"> </w:t>
      </w:r>
      <w:r w:rsidRPr="002D4D50">
        <w:rPr>
          <w:rFonts w:asciiTheme="minorHAnsi" w:hAnsiTheme="minorHAnsi" w:cstheme="minorHAnsi"/>
          <w:szCs w:val="22"/>
        </w:rPr>
        <w:t>The</w:t>
      </w:r>
      <w:r>
        <w:rPr>
          <w:rFonts w:asciiTheme="minorHAnsi" w:hAnsiTheme="minorHAnsi" w:cstheme="minorHAnsi"/>
          <w:szCs w:val="22"/>
        </w:rPr>
        <w:t xml:space="preserve"> </w:t>
      </w:r>
      <w:r w:rsidRPr="002D4D50">
        <w:rPr>
          <w:rFonts w:asciiTheme="minorHAnsi" w:hAnsiTheme="minorHAnsi" w:cstheme="minorHAnsi"/>
          <w:szCs w:val="22"/>
        </w:rPr>
        <w:t>clinical</w:t>
      </w:r>
      <w:r>
        <w:rPr>
          <w:rFonts w:asciiTheme="minorHAnsi" w:hAnsiTheme="minorHAnsi" w:cstheme="minorHAnsi"/>
          <w:szCs w:val="22"/>
        </w:rPr>
        <w:t xml:space="preserve"> trial is</w:t>
      </w:r>
      <w:r w:rsidRPr="002D4D50">
        <w:rPr>
          <w:rFonts w:asciiTheme="minorHAnsi" w:hAnsiTheme="minorHAnsi" w:cstheme="minorHAnsi"/>
          <w:szCs w:val="22"/>
        </w:rPr>
        <w:t xml:space="preserve"> proposed to take place </w:t>
      </w:r>
      <w:r>
        <w:rPr>
          <w:rFonts w:asciiTheme="minorHAnsi" w:hAnsiTheme="minorHAnsi" w:cstheme="minorHAnsi"/>
          <w:szCs w:val="22"/>
        </w:rPr>
        <w:t>at hospitals</w:t>
      </w:r>
      <w:r w:rsidRPr="002D4D50">
        <w:rPr>
          <w:rFonts w:asciiTheme="minorHAnsi" w:hAnsiTheme="minorHAnsi" w:cstheme="minorHAnsi"/>
          <w:szCs w:val="22"/>
        </w:rPr>
        <w:t xml:space="preserve"> within Australia</w:t>
      </w:r>
      <w:r>
        <w:rPr>
          <w:rFonts w:asciiTheme="minorHAnsi" w:hAnsiTheme="minorHAnsi" w:cstheme="minorHAnsi"/>
          <w:szCs w:val="22"/>
        </w:rPr>
        <w:t xml:space="preserve"> over a period of up to three years</w:t>
      </w:r>
      <w:r w:rsidRPr="002D4D50">
        <w:rPr>
          <w:rFonts w:asciiTheme="minorHAnsi" w:hAnsiTheme="minorHAnsi" w:cstheme="minorHAnsi"/>
          <w:szCs w:val="22"/>
        </w:rPr>
        <w:t>.</w:t>
      </w:r>
      <w:r>
        <w:rPr>
          <w:rFonts w:asciiTheme="minorHAnsi" w:hAnsiTheme="minorHAnsi" w:cstheme="minorHAnsi"/>
          <w:szCs w:val="22"/>
        </w:rPr>
        <w:t xml:space="preserve"> Up to 15 people with cystic fibrosis</w:t>
      </w:r>
      <w:r w:rsidRPr="00162112">
        <w:rPr>
          <w:rFonts w:asciiTheme="minorHAnsi" w:hAnsiTheme="minorHAnsi" w:cstheme="minorHAnsi"/>
          <w:szCs w:val="22"/>
        </w:rPr>
        <w:t xml:space="preserve"> </w:t>
      </w:r>
      <w:r>
        <w:rPr>
          <w:rFonts w:asciiTheme="minorHAnsi" w:hAnsiTheme="minorHAnsi"/>
          <w:szCs w:val="22"/>
        </w:rPr>
        <w:t>would receive</w:t>
      </w:r>
      <w:r w:rsidRPr="00ED4E4E">
        <w:rPr>
          <w:rFonts w:asciiTheme="minorHAnsi" w:hAnsiTheme="minorHAnsi"/>
          <w:szCs w:val="22"/>
        </w:rPr>
        <w:t xml:space="preserve"> </w:t>
      </w:r>
      <w:r>
        <w:rPr>
          <w:rFonts w:asciiTheme="minorHAnsi" w:hAnsiTheme="minorHAnsi"/>
          <w:szCs w:val="22"/>
        </w:rPr>
        <w:t>one of three courses of treatment with the GMO</w:t>
      </w:r>
      <w:r>
        <w:rPr>
          <w:rFonts w:asciiTheme="minorHAnsi" w:hAnsiTheme="minorHAnsi" w:cstheme="minorHAnsi"/>
          <w:szCs w:val="22"/>
        </w:rPr>
        <w:t>, delivered by inhalation, with the aim</w:t>
      </w:r>
      <w:r w:rsidRPr="00162112">
        <w:rPr>
          <w:rFonts w:asciiTheme="minorHAnsi" w:hAnsiTheme="minorHAnsi" w:cstheme="minorHAnsi"/>
          <w:szCs w:val="22"/>
        </w:rPr>
        <w:t xml:space="preserve"> </w:t>
      </w:r>
      <w:r>
        <w:rPr>
          <w:rFonts w:asciiTheme="minorHAnsi" w:hAnsiTheme="minorHAnsi" w:cstheme="minorHAnsi"/>
          <w:szCs w:val="22"/>
        </w:rPr>
        <w:t xml:space="preserve">of </w:t>
      </w:r>
      <w:r w:rsidRPr="00527208">
        <w:rPr>
          <w:rFonts w:asciiTheme="minorHAnsi" w:hAnsiTheme="minorHAnsi" w:cstheme="minorHAnsi"/>
          <w:szCs w:val="22"/>
        </w:rPr>
        <w:t>evaluat</w:t>
      </w:r>
      <w:r>
        <w:rPr>
          <w:rFonts w:asciiTheme="minorHAnsi" w:hAnsiTheme="minorHAnsi" w:cstheme="minorHAnsi"/>
          <w:szCs w:val="22"/>
        </w:rPr>
        <w:t>ing the safety and efficacy</w:t>
      </w:r>
      <w:r w:rsidRPr="00AD74D6">
        <w:rPr>
          <w:rFonts w:asciiTheme="minorHAnsi" w:hAnsiTheme="minorHAnsi" w:cstheme="minorHAnsi"/>
          <w:szCs w:val="22"/>
        </w:rPr>
        <w:t xml:space="preserve"> </w:t>
      </w:r>
      <w:r>
        <w:rPr>
          <w:rFonts w:asciiTheme="minorHAnsi" w:hAnsiTheme="minorHAnsi" w:cstheme="minorHAnsi"/>
          <w:szCs w:val="22"/>
        </w:rPr>
        <w:t>of the treatment</w:t>
      </w:r>
      <w:r w:rsidRPr="00527208">
        <w:rPr>
          <w:rFonts w:asciiTheme="minorHAnsi" w:hAnsiTheme="minorHAnsi" w:cstheme="minorHAnsi"/>
          <w:szCs w:val="22"/>
        </w:rPr>
        <w:t>.</w:t>
      </w:r>
    </w:p>
    <w:p w:rsidR="00AB197B" w:rsidRPr="00725B46" w:rsidRDefault="00AB197B" w:rsidP="00CE7DE9">
      <w:pPr>
        <w:rPr>
          <w:rFonts w:asciiTheme="minorHAnsi" w:hAnsiTheme="minorHAnsi"/>
          <w:szCs w:val="22"/>
        </w:rPr>
      </w:pPr>
      <w:r w:rsidRPr="00725B46">
        <w:rPr>
          <w:szCs w:val="22"/>
        </w:rPr>
        <w:t xml:space="preserve">Clinical trials in Australia are conducted in accordance with requirements of the </w:t>
      </w:r>
      <w:r w:rsidRPr="00725B46">
        <w:rPr>
          <w:i/>
          <w:szCs w:val="22"/>
        </w:rPr>
        <w:t>Therapeutic Goods Act 1989</w:t>
      </w:r>
      <w:r w:rsidRPr="00725B46">
        <w:rPr>
          <w:szCs w:val="22"/>
        </w:rPr>
        <w:t xml:space="preserve">, which is administered by the Therapeutic Goods Administration (TGA). Therefore, in addition to approval by the Regulator, </w:t>
      </w:r>
      <w:proofErr w:type="spellStart"/>
      <w:r w:rsidRPr="00725B46">
        <w:rPr>
          <w:szCs w:val="22"/>
        </w:rPr>
        <w:t>Novotech</w:t>
      </w:r>
      <w:proofErr w:type="spellEnd"/>
      <w:r w:rsidRPr="00725B46">
        <w:rPr>
          <w:szCs w:val="22"/>
        </w:rPr>
        <w:t xml:space="preserve"> would require authorisation from </w:t>
      </w:r>
      <w:r>
        <w:rPr>
          <w:szCs w:val="22"/>
        </w:rPr>
        <w:t xml:space="preserve">the </w:t>
      </w:r>
      <w:r w:rsidRPr="00725B46">
        <w:rPr>
          <w:szCs w:val="22"/>
        </w:rPr>
        <w:t xml:space="preserve">TGA before the trial commences. Clinical trials conducted in Australia must also be conducted in accordance with the </w:t>
      </w:r>
      <w:hyperlink r:id="rId7" w:history="1">
        <w:r w:rsidRPr="00725B46">
          <w:rPr>
            <w:rStyle w:val="Hyperlink"/>
            <w:i/>
            <w:szCs w:val="22"/>
          </w:rPr>
          <w:t>National Statement on Ethical Conduct in Human Research</w:t>
        </w:r>
      </w:hyperlink>
      <w:r w:rsidRPr="00725B46">
        <w:rPr>
          <w:i/>
          <w:szCs w:val="22"/>
        </w:rPr>
        <w:t xml:space="preserve"> </w:t>
      </w:r>
      <w:r w:rsidRPr="00725B46">
        <w:rPr>
          <w:szCs w:val="22"/>
        </w:rPr>
        <w:t xml:space="preserve">and with the </w:t>
      </w:r>
      <w:hyperlink r:id="rId8" w:history="1">
        <w:r w:rsidRPr="00725B46">
          <w:rPr>
            <w:rStyle w:val="Hyperlink"/>
            <w:rFonts w:asciiTheme="minorHAnsi" w:hAnsiTheme="minorHAnsi" w:cstheme="minorHAnsi"/>
            <w:i/>
            <w:szCs w:val="22"/>
          </w:rPr>
          <w:t>Guidelines for Good Clinical</w:t>
        </w:r>
        <w:r w:rsidRPr="00725B46">
          <w:rPr>
            <w:rStyle w:val="Hyperlink"/>
            <w:rFonts w:asciiTheme="minorHAnsi" w:hAnsiTheme="minorHAnsi" w:cstheme="minorHAnsi"/>
            <w:szCs w:val="22"/>
          </w:rPr>
          <w:t xml:space="preserve"> </w:t>
        </w:r>
        <w:r w:rsidRPr="00725B46">
          <w:rPr>
            <w:rStyle w:val="Hyperlink"/>
            <w:rFonts w:asciiTheme="minorHAnsi" w:hAnsiTheme="minorHAnsi" w:cstheme="minorHAnsi"/>
            <w:i/>
            <w:szCs w:val="22"/>
          </w:rPr>
          <w:t>Practice</w:t>
        </w:r>
      </w:hyperlink>
      <w:r w:rsidRPr="00725B46">
        <w:rPr>
          <w:rFonts w:asciiTheme="minorHAnsi" w:hAnsiTheme="minorHAnsi" w:cstheme="minorHAnsi"/>
          <w:szCs w:val="22"/>
        </w:rPr>
        <w:t xml:space="preserve"> of the International Council for Harmonisation of Technical Requirements for Registration of Pharmaceuticals for Human Use. </w:t>
      </w:r>
      <w:proofErr w:type="spellStart"/>
      <w:r w:rsidRPr="00725B46">
        <w:rPr>
          <w:rFonts w:asciiTheme="minorHAnsi" w:hAnsiTheme="minorHAnsi" w:cstheme="minorHAnsi"/>
          <w:szCs w:val="22"/>
        </w:rPr>
        <w:t>Novotech</w:t>
      </w:r>
      <w:proofErr w:type="spellEnd"/>
      <w:r w:rsidRPr="00725B46">
        <w:rPr>
          <w:rFonts w:asciiTheme="minorHAnsi" w:hAnsiTheme="minorHAnsi" w:cstheme="minorHAnsi"/>
          <w:szCs w:val="22"/>
        </w:rPr>
        <w:t xml:space="preserve"> would also require approval from the Department of Agriculture, Water and the Environment for import of the GM treatment.</w:t>
      </w:r>
    </w:p>
    <w:p w:rsidR="00AB197B" w:rsidRPr="00725B46" w:rsidRDefault="00AB197B" w:rsidP="00CE7DE9">
      <w:pPr>
        <w:rPr>
          <w:rFonts w:asciiTheme="minorHAnsi" w:hAnsiTheme="minorHAnsi"/>
          <w:szCs w:val="22"/>
        </w:rPr>
      </w:pPr>
      <w:r w:rsidRPr="00725B46">
        <w:rPr>
          <w:rFonts w:asciiTheme="minorHAnsi" w:hAnsiTheme="minorHAnsi"/>
          <w:szCs w:val="22"/>
        </w:rPr>
        <w:t>The Regulator has prepared a Risk Assessment and Risk Management Plan (RARMP) for this application, which concludes that the proposed clinical trial pose</w:t>
      </w:r>
      <w:r>
        <w:rPr>
          <w:rFonts w:asciiTheme="minorHAnsi" w:hAnsiTheme="minorHAnsi"/>
          <w:szCs w:val="22"/>
        </w:rPr>
        <w:t>s</w:t>
      </w:r>
      <w:r w:rsidRPr="00725B46">
        <w:rPr>
          <w:rFonts w:asciiTheme="minorHAnsi" w:hAnsiTheme="minorHAnsi"/>
          <w:szCs w:val="22"/>
        </w:rPr>
        <w:t xml:space="preserve"> </w:t>
      </w:r>
      <w:r>
        <w:t>negligible</w:t>
      </w:r>
      <w:r>
        <w:rPr>
          <w:rFonts w:asciiTheme="minorHAnsi" w:hAnsiTheme="minorHAnsi"/>
          <w:szCs w:val="22"/>
        </w:rPr>
        <w:t xml:space="preserve"> to moderate</w:t>
      </w:r>
      <w:r w:rsidRPr="00725B46">
        <w:rPr>
          <w:rFonts w:asciiTheme="minorHAnsi" w:hAnsiTheme="minorHAnsi"/>
          <w:szCs w:val="22"/>
        </w:rPr>
        <w:t xml:space="preserve"> risks to human health </w:t>
      </w:r>
      <w:r>
        <w:rPr>
          <w:rFonts w:asciiTheme="minorHAnsi" w:hAnsiTheme="minorHAnsi"/>
          <w:szCs w:val="22"/>
        </w:rPr>
        <w:t xml:space="preserve">and </w:t>
      </w:r>
      <w:r w:rsidRPr="00AD02B4">
        <w:rPr>
          <w:rFonts w:asciiTheme="minorHAnsi" w:hAnsiTheme="minorHAnsi"/>
          <w:szCs w:val="22"/>
        </w:rPr>
        <w:t>safety and negligible risks to the</w:t>
      </w:r>
      <w:r>
        <w:rPr>
          <w:rFonts w:asciiTheme="minorHAnsi" w:hAnsiTheme="minorHAnsi"/>
          <w:szCs w:val="22"/>
        </w:rPr>
        <w:t xml:space="preserve"> environment, but that these risks can be managed by imposing conditions </w:t>
      </w:r>
      <w:r w:rsidRPr="002A2C3E">
        <w:rPr>
          <w:rFonts w:asciiTheme="minorHAnsi" w:hAnsiTheme="minorHAnsi"/>
          <w:szCs w:val="22"/>
        </w:rPr>
        <w:t>on the conduct of the trial.</w:t>
      </w:r>
    </w:p>
    <w:p w:rsidR="00AB197B" w:rsidRDefault="00AB197B">
      <w:pPr>
        <w:spacing w:before="0" w:after="160" w:line="259" w:lineRule="auto"/>
        <w:rPr>
          <w:b/>
          <w:i/>
          <w:sz w:val="28"/>
          <w:szCs w:val="28"/>
        </w:rPr>
      </w:pPr>
      <w:r>
        <w:br w:type="page"/>
      </w:r>
    </w:p>
    <w:p w:rsidR="00AB197B" w:rsidRPr="00390732" w:rsidRDefault="00AB197B" w:rsidP="00390732">
      <w:pPr>
        <w:pStyle w:val="Heading2"/>
      </w:pPr>
      <w:bookmarkStart w:id="18" w:name="_Toc76116880"/>
      <w:bookmarkEnd w:id="11"/>
      <w:bookmarkEnd w:id="12"/>
      <w:bookmarkEnd w:id="13"/>
      <w:bookmarkEnd w:id="14"/>
      <w:bookmarkEnd w:id="15"/>
      <w:bookmarkEnd w:id="16"/>
      <w:r w:rsidRPr="00390732">
        <w:lastRenderedPageBreak/>
        <w:t>The application</w:t>
      </w:r>
      <w:bookmarkEnd w:id="18"/>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The table has 10 rows, one each for Project Title, Parent Organism, Genetic Modification, Principle Purpose, Previous Clinical Trials, Limits and Controls proposed by the applicant, proposed duration, proposed release size, proposed locations and proposed controls."/>
      </w:tblPr>
      <w:tblGrid>
        <w:gridCol w:w="2681"/>
        <w:gridCol w:w="7214"/>
      </w:tblGrid>
      <w:tr w:rsidR="00AB197B" w:rsidRPr="002E4447" w:rsidTr="00390732">
        <w:trPr>
          <w:jc w:val="center"/>
        </w:trPr>
        <w:tc>
          <w:tcPr>
            <w:tcW w:w="2681" w:type="dxa"/>
            <w:vAlign w:val="center"/>
          </w:tcPr>
          <w:p w:rsidR="00AB197B" w:rsidRPr="00390732" w:rsidRDefault="00AB197B" w:rsidP="00390732">
            <w:pPr>
              <w:rPr>
                <w:b/>
              </w:rPr>
            </w:pPr>
            <w:bookmarkStart w:id="19" w:name="_Toc209859549"/>
            <w:bookmarkStart w:id="20" w:name="_Toc274904728"/>
            <w:bookmarkStart w:id="21" w:name="_Toc291151778"/>
            <w:bookmarkStart w:id="22" w:name="_Toc355007997"/>
            <w:bookmarkStart w:id="23" w:name="_Toc465862036"/>
            <w:bookmarkStart w:id="24" w:name="_Toc466627806"/>
            <w:r w:rsidRPr="00390732">
              <w:rPr>
                <w:b/>
              </w:rPr>
              <w:t>Project Title</w:t>
            </w:r>
          </w:p>
        </w:tc>
        <w:tc>
          <w:tcPr>
            <w:tcW w:w="7214" w:type="dxa"/>
            <w:vAlign w:val="center"/>
          </w:tcPr>
          <w:p w:rsidR="00AB197B" w:rsidRPr="007765FB" w:rsidRDefault="00AB197B" w:rsidP="00390732">
            <w:pPr>
              <w:pStyle w:val="RIGHTLIST"/>
              <w:widowControl w:val="0"/>
              <w:spacing w:before="60" w:after="60"/>
              <w:rPr>
                <w:rFonts w:ascii="Calibri" w:hAnsi="Calibri"/>
              </w:rPr>
            </w:pPr>
            <w:r>
              <w:rPr>
                <w:rFonts w:ascii="Calibri" w:hAnsi="Calibri"/>
              </w:rPr>
              <w:t>Clinical trial of a genetically modified Herpes virus for the treatment of cystic fibrosis</w:t>
            </w:r>
            <w:r>
              <w:rPr>
                <w:rStyle w:val="FootnoteReference"/>
                <w:rFonts w:ascii="Calibri" w:hAnsi="Calibri"/>
              </w:rPr>
              <w:footnoteReference w:id="1"/>
            </w:r>
          </w:p>
        </w:tc>
      </w:tr>
      <w:tr w:rsidR="00AB197B" w:rsidRPr="002E4447" w:rsidTr="00390732">
        <w:trPr>
          <w:jc w:val="center"/>
        </w:trPr>
        <w:tc>
          <w:tcPr>
            <w:tcW w:w="2681" w:type="dxa"/>
            <w:vAlign w:val="center"/>
          </w:tcPr>
          <w:p w:rsidR="00AB197B" w:rsidRPr="00390732" w:rsidRDefault="00AB197B" w:rsidP="00390732">
            <w:pPr>
              <w:rPr>
                <w:b/>
              </w:rPr>
            </w:pPr>
            <w:r w:rsidRPr="00390732">
              <w:rPr>
                <w:b/>
              </w:rPr>
              <w:t>Parent organism</w:t>
            </w:r>
          </w:p>
        </w:tc>
        <w:tc>
          <w:tcPr>
            <w:tcW w:w="7214" w:type="dxa"/>
            <w:vAlign w:val="center"/>
          </w:tcPr>
          <w:p w:rsidR="00AB197B" w:rsidRDefault="00AB197B" w:rsidP="00390732">
            <w:pPr>
              <w:pStyle w:val="RIGHTLIST"/>
              <w:widowControl w:val="0"/>
              <w:spacing w:before="60" w:after="60"/>
              <w:rPr>
                <w:rFonts w:ascii="Calibri" w:hAnsi="Calibri"/>
              </w:rPr>
            </w:pPr>
            <w:r>
              <w:rPr>
                <w:rFonts w:ascii="Calibri" w:hAnsi="Calibri"/>
                <w:i/>
              </w:rPr>
              <w:t xml:space="preserve">Herpes simplex virus-1 </w:t>
            </w:r>
            <w:r w:rsidRPr="00BB7C94">
              <w:rPr>
                <w:rFonts w:ascii="Calibri" w:hAnsi="Calibri"/>
              </w:rPr>
              <w:t>(HSV-1)</w:t>
            </w:r>
          </w:p>
        </w:tc>
      </w:tr>
      <w:tr w:rsidR="00AB197B" w:rsidRPr="002E4447" w:rsidTr="00390732">
        <w:trPr>
          <w:jc w:val="center"/>
        </w:trPr>
        <w:tc>
          <w:tcPr>
            <w:tcW w:w="2681" w:type="dxa"/>
            <w:vAlign w:val="center"/>
          </w:tcPr>
          <w:p w:rsidR="00AB197B" w:rsidRPr="00390732" w:rsidRDefault="00AB197B" w:rsidP="00390732">
            <w:pPr>
              <w:rPr>
                <w:b/>
              </w:rPr>
            </w:pPr>
            <w:r w:rsidRPr="00390732">
              <w:rPr>
                <w:b/>
              </w:rPr>
              <w:t>Genetic modifications</w:t>
            </w:r>
          </w:p>
        </w:tc>
        <w:tc>
          <w:tcPr>
            <w:tcW w:w="7214" w:type="dxa"/>
            <w:vAlign w:val="center"/>
          </w:tcPr>
          <w:p w:rsidR="00AB197B" w:rsidRDefault="00AB197B" w:rsidP="00390732">
            <w:pPr>
              <w:pStyle w:val="RIGHTLIST"/>
              <w:keepNext w:val="0"/>
              <w:widowControl w:val="0"/>
              <w:spacing w:before="60" w:after="60"/>
              <w:rPr>
                <w:rFonts w:asciiTheme="minorHAnsi" w:hAnsiTheme="minorHAnsi" w:cstheme="minorHAnsi"/>
              </w:rPr>
            </w:pPr>
            <w:r w:rsidRPr="00177C64">
              <w:rPr>
                <w:rFonts w:asciiTheme="minorHAnsi" w:hAnsiTheme="minorHAnsi" w:cstheme="minorHAnsi"/>
              </w:rPr>
              <w:t xml:space="preserve">The </w:t>
            </w:r>
            <w:r>
              <w:rPr>
                <w:rFonts w:asciiTheme="minorHAnsi" w:hAnsiTheme="minorHAnsi" w:cstheme="minorHAnsi"/>
              </w:rPr>
              <w:t>GMO:</w:t>
            </w:r>
          </w:p>
          <w:p w:rsidR="00AB197B" w:rsidRDefault="00AB197B" w:rsidP="00390732">
            <w:pPr>
              <w:pStyle w:val="RIGHTLIST"/>
              <w:keepNext w:val="0"/>
              <w:widowControl w:val="0"/>
              <w:numPr>
                <w:ilvl w:val="0"/>
                <w:numId w:val="8"/>
              </w:numPr>
              <w:spacing w:before="60" w:after="60"/>
              <w:ind w:left="317" w:hanging="283"/>
              <w:rPr>
                <w:rFonts w:asciiTheme="minorHAnsi" w:hAnsiTheme="minorHAnsi" w:cstheme="minorHAnsi"/>
              </w:rPr>
            </w:pPr>
            <w:r>
              <w:rPr>
                <w:rFonts w:asciiTheme="minorHAnsi" w:hAnsiTheme="minorHAnsi" w:cstheme="minorHAnsi"/>
              </w:rPr>
              <w:t>has been modified such that it cannot replicate; and</w:t>
            </w:r>
          </w:p>
          <w:p w:rsidR="00AB197B" w:rsidRDefault="00AB197B" w:rsidP="00390732">
            <w:pPr>
              <w:pStyle w:val="RIGHTLIST"/>
              <w:keepNext w:val="0"/>
              <w:widowControl w:val="0"/>
              <w:numPr>
                <w:ilvl w:val="0"/>
                <w:numId w:val="8"/>
              </w:numPr>
              <w:spacing w:before="60" w:after="60"/>
              <w:ind w:left="317" w:hanging="283"/>
              <w:rPr>
                <w:rFonts w:ascii="Calibri" w:hAnsi="Calibri"/>
                <w:i/>
              </w:rPr>
            </w:pPr>
            <w:proofErr w:type="gramStart"/>
            <w:r>
              <w:rPr>
                <w:rFonts w:asciiTheme="minorHAnsi" w:hAnsiTheme="minorHAnsi" w:cstheme="minorHAnsi"/>
              </w:rPr>
              <w:t>expresses</w:t>
            </w:r>
            <w:proofErr w:type="gramEnd"/>
            <w:r>
              <w:rPr>
                <w:rFonts w:asciiTheme="minorHAnsi" w:hAnsiTheme="minorHAnsi" w:cstheme="minorHAnsi"/>
              </w:rPr>
              <w:t xml:space="preserve"> two copies of the full length </w:t>
            </w:r>
            <w:r w:rsidRPr="00BB7C94">
              <w:rPr>
                <w:rFonts w:asciiTheme="minorHAnsi" w:hAnsiTheme="minorHAnsi" w:cstheme="minorHAnsi"/>
                <w:i/>
              </w:rPr>
              <w:t>human cystic fibrosis transmembrane conductance regulator</w:t>
            </w:r>
            <w:r>
              <w:rPr>
                <w:rFonts w:asciiTheme="minorHAnsi" w:hAnsiTheme="minorHAnsi" w:cstheme="minorHAnsi"/>
              </w:rPr>
              <w:t xml:space="preserve"> (CFTR) gene. These are intended to replace the dysfunctional CFTR gene in people with cystic fibrosis</w:t>
            </w:r>
          </w:p>
        </w:tc>
      </w:tr>
      <w:tr w:rsidR="00AB197B" w:rsidRPr="002E4447" w:rsidTr="00390732">
        <w:trPr>
          <w:jc w:val="center"/>
        </w:trPr>
        <w:tc>
          <w:tcPr>
            <w:tcW w:w="2681" w:type="dxa"/>
            <w:vAlign w:val="center"/>
          </w:tcPr>
          <w:p w:rsidR="00AB197B" w:rsidRPr="00390732" w:rsidRDefault="00AB197B" w:rsidP="00390732">
            <w:pPr>
              <w:rPr>
                <w:b/>
              </w:rPr>
            </w:pPr>
            <w:r w:rsidRPr="00390732">
              <w:rPr>
                <w:b/>
              </w:rPr>
              <w:t>Principal purpose</w:t>
            </w:r>
          </w:p>
        </w:tc>
        <w:tc>
          <w:tcPr>
            <w:tcW w:w="7214" w:type="dxa"/>
            <w:vAlign w:val="center"/>
          </w:tcPr>
          <w:p w:rsidR="00AB197B" w:rsidRDefault="00AB197B" w:rsidP="00390732">
            <w:pPr>
              <w:pStyle w:val="RIGHTLIST"/>
              <w:widowControl w:val="0"/>
              <w:spacing w:before="60" w:after="60"/>
              <w:rPr>
                <w:rFonts w:ascii="Calibri" w:hAnsi="Calibri"/>
              </w:rPr>
            </w:pPr>
            <w:r w:rsidRPr="00044BBD">
              <w:rPr>
                <w:rFonts w:asciiTheme="minorHAnsi" w:hAnsiTheme="minorHAnsi" w:cstheme="minorHAnsi"/>
              </w:rPr>
              <w:t>Th</w:t>
            </w:r>
            <w:r>
              <w:rPr>
                <w:rFonts w:asciiTheme="minorHAnsi" w:hAnsiTheme="minorHAnsi" w:cstheme="minorHAnsi"/>
              </w:rPr>
              <w:t xml:space="preserve">e trial is an initial study of </w:t>
            </w:r>
            <w:r w:rsidRPr="00E66776">
              <w:rPr>
                <w:rFonts w:asciiTheme="minorHAnsi" w:hAnsiTheme="minorHAnsi" w:cstheme="minorHAnsi"/>
              </w:rPr>
              <w:t xml:space="preserve">genetically modified (GM) </w:t>
            </w:r>
            <w:r>
              <w:rPr>
                <w:rFonts w:asciiTheme="minorHAnsi" w:hAnsiTheme="minorHAnsi" w:cstheme="minorHAnsi"/>
              </w:rPr>
              <w:t>HSV-1 expressing human cystic fibrosis transmembrane conductance regulator (CFTR), intended to assess safety and efficacy in a small group of people with cystic fibrosis.</w:t>
            </w:r>
          </w:p>
        </w:tc>
      </w:tr>
      <w:tr w:rsidR="00AB197B" w:rsidRPr="002E4447" w:rsidTr="00390732">
        <w:trPr>
          <w:jc w:val="center"/>
        </w:trPr>
        <w:tc>
          <w:tcPr>
            <w:tcW w:w="2681" w:type="dxa"/>
            <w:vAlign w:val="center"/>
          </w:tcPr>
          <w:p w:rsidR="00AB197B" w:rsidRPr="00390732" w:rsidRDefault="00AB197B" w:rsidP="00390732">
            <w:pPr>
              <w:rPr>
                <w:b/>
              </w:rPr>
            </w:pPr>
            <w:r w:rsidRPr="00390732">
              <w:rPr>
                <w:b/>
              </w:rPr>
              <w:t>Previous clinical trials</w:t>
            </w:r>
          </w:p>
        </w:tc>
        <w:tc>
          <w:tcPr>
            <w:tcW w:w="7214" w:type="dxa"/>
            <w:vAlign w:val="center"/>
          </w:tcPr>
          <w:p w:rsidR="00AB197B" w:rsidRDefault="00AB197B" w:rsidP="00390732">
            <w:pPr>
              <w:pStyle w:val="RIGHTLIST"/>
              <w:widowControl w:val="0"/>
              <w:spacing w:before="60" w:after="60"/>
              <w:rPr>
                <w:rFonts w:ascii="Calibri" w:hAnsi="Calibri"/>
              </w:rPr>
            </w:pPr>
            <w:r>
              <w:rPr>
                <w:rFonts w:asciiTheme="minorHAnsi" w:hAnsiTheme="minorHAnsi" w:cstheme="minorHAnsi"/>
              </w:rPr>
              <w:t>This is a first-in-human study of this GMO</w:t>
            </w:r>
          </w:p>
        </w:tc>
      </w:tr>
      <w:tr w:rsidR="00AB197B" w:rsidRPr="002E4447" w:rsidTr="00390732">
        <w:trPr>
          <w:jc w:val="center"/>
        </w:trPr>
        <w:tc>
          <w:tcPr>
            <w:tcW w:w="9895" w:type="dxa"/>
            <w:gridSpan w:val="2"/>
            <w:vAlign w:val="center"/>
          </w:tcPr>
          <w:p w:rsidR="00AB197B" w:rsidRPr="00BB7C94" w:rsidRDefault="00AB197B" w:rsidP="00390732">
            <w:pPr>
              <w:pStyle w:val="RIGHTLIST"/>
              <w:keepNext w:val="0"/>
              <w:widowControl w:val="0"/>
              <w:spacing w:before="60" w:after="60"/>
              <w:rPr>
                <w:rFonts w:ascii="Calibri" w:hAnsi="Calibri"/>
                <w:b/>
              </w:rPr>
            </w:pPr>
            <w:r>
              <w:rPr>
                <w:rFonts w:ascii="Calibri" w:hAnsi="Calibri" w:cs="Calibri"/>
                <w:b/>
              </w:rPr>
              <w:t>L</w:t>
            </w:r>
            <w:r w:rsidRPr="00BB7C94">
              <w:rPr>
                <w:rFonts w:ascii="Calibri" w:hAnsi="Calibri" w:cs="Calibri"/>
                <w:b/>
              </w:rPr>
              <w:t xml:space="preserve">imits and </w:t>
            </w:r>
            <w:r w:rsidRPr="00AD02B4">
              <w:rPr>
                <w:rFonts w:ascii="Calibri" w:hAnsi="Calibri" w:cs="Calibri"/>
                <w:b/>
              </w:rPr>
              <w:t>controls proposed by applicant</w:t>
            </w:r>
          </w:p>
        </w:tc>
      </w:tr>
      <w:tr w:rsidR="00AB197B" w:rsidRPr="008456DC" w:rsidTr="00390732">
        <w:trPr>
          <w:jc w:val="center"/>
        </w:trPr>
        <w:tc>
          <w:tcPr>
            <w:tcW w:w="2681" w:type="dxa"/>
            <w:vAlign w:val="center"/>
          </w:tcPr>
          <w:p w:rsidR="00AB197B" w:rsidRPr="00390732" w:rsidRDefault="00AB197B" w:rsidP="00390732">
            <w:r w:rsidRPr="00390732">
              <w:t>Proposed duration</w:t>
            </w:r>
          </w:p>
        </w:tc>
        <w:tc>
          <w:tcPr>
            <w:tcW w:w="7214" w:type="dxa"/>
            <w:vAlign w:val="center"/>
          </w:tcPr>
          <w:p w:rsidR="00AB197B" w:rsidRPr="00BB7C94" w:rsidRDefault="00AB197B" w:rsidP="00390732">
            <w:pPr>
              <w:pStyle w:val="RIGHTLIST"/>
              <w:keepNext w:val="0"/>
              <w:widowControl w:val="0"/>
              <w:spacing w:before="60" w:after="60"/>
              <w:rPr>
                <w:rFonts w:asciiTheme="minorHAnsi" w:hAnsiTheme="minorHAnsi" w:cstheme="minorHAnsi"/>
              </w:rPr>
            </w:pPr>
            <w:r>
              <w:rPr>
                <w:rFonts w:ascii="Calibri" w:hAnsi="Calibri" w:cs="Calibri"/>
                <w:iCs/>
              </w:rPr>
              <w:t>3</w:t>
            </w:r>
            <w:r w:rsidRPr="00BB7C94">
              <w:rPr>
                <w:rFonts w:ascii="Calibri" w:hAnsi="Calibri" w:cs="Calibri"/>
                <w:iCs/>
              </w:rPr>
              <w:t xml:space="preserve"> years</w:t>
            </w:r>
          </w:p>
        </w:tc>
      </w:tr>
      <w:tr w:rsidR="00AB197B" w:rsidRPr="008456DC" w:rsidTr="00390732">
        <w:trPr>
          <w:jc w:val="center"/>
        </w:trPr>
        <w:tc>
          <w:tcPr>
            <w:tcW w:w="2681" w:type="dxa"/>
            <w:vAlign w:val="center"/>
          </w:tcPr>
          <w:p w:rsidR="00AB197B" w:rsidRPr="00390732" w:rsidRDefault="00AB197B" w:rsidP="00390732">
            <w:r w:rsidRPr="00390732">
              <w:t>Proposed release size</w:t>
            </w:r>
          </w:p>
        </w:tc>
        <w:tc>
          <w:tcPr>
            <w:tcW w:w="7214" w:type="dxa"/>
            <w:vAlign w:val="center"/>
          </w:tcPr>
          <w:p w:rsidR="00AB197B" w:rsidRPr="00BB7C94" w:rsidRDefault="00AB197B" w:rsidP="00390732">
            <w:pPr>
              <w:pStyle w:val="RIGHTLIST"/>
              <w:keepNext w:val="0"/>
              <w:widowControl w:val="0"/>
              <w:spacing w:before="60" w:after="60"/>
              <w:rPr>
                <w:rFonts w:ascii="Calibri" w:hAnsi="Calibri" w:cs="Calibri"/>
                <w:iCs/>
              </w:rPr>
            </w:pPr>
            <w:r>
              <w:rPr>
                <w:rFonts w:asciiTheme="minorHAnsi" w:hAnsiTheme="minorHAnsi" w:cstheme="minorHAnsi"/>
                <w:iCs/>
              </w:rPr>
              <w:t>Up to 15 participants will be enrolled into the trial</w:t>
            </w:r>
          </w:p>
        </w:tc>
      </w:tr>
      <w:tr w:rsidR="00AB197B" w:rsidRPr="008456DC" w:rsidTr="00390732">
        <w:trPr>
          <w:jc w:val="center"/>
        </w:trPr>
        <w:tc>
          <w:tcPr>
            <w:tcW w:w="2681" w:type="dxa"/>
            <w:vAlign w:val="center"/>
          </w:tcPr>
          <w:p w:rsidR="00AB197B" w:rsidRPr="00390732" w:rsidRDefault="00AB197B" w:rsidP="00390732">
            <w:r w:rsidRPr="00390732">
              <w:t>Proposed location/s</w:t>
            </w:r>
          </w:p>
        </w:tc>
        <w:tc>
          <w:tcPr>
            <w:tcW w:w="7214" w:type="dxa"/>
            <w:vAlign w:val="center"/>
          </w:tcPr>
          <w:p w:rsidR="00AB197B" w:rsidRPr="00044BBD" w:rsidRDefault="00AB197B" w:rsidP="00390732">
            <w:pPr>
              <w:pStyle w:val="RIGHTLIST"/>
              <w:keepNext w:val="0"/>
              <w:widowControl w:val="0"/>
              <w:spacing w:before="60" w:after="60"/>
              <w:rPr>
                <w:rFonts w:asciiTheme="minorHAnsi" w:hAnsiTheme="minorHAnsi" w:cstheme="minorHAnsi"/>
              </w:rPr>
            </w:pPr>
            <w:r>
              <w:rPr>
                <w:rFonts w:asciiTheme="minorHAnsi" w:hAnsiTheme="minorHAnsi" w:cstheme="minorHAnsi"/>
              </w:rPr>
              <w:t>Clinical</w:t>
            </w:r>
            <w:r w:rsidRPr="00044BBD">
              <w:rPr>
                <w:rFonts w:asciiTheme="minorHAnsi" w:hAnsiTheme="minorHAnsi" w:cstheme="minorHAnsi"/>
              </w:rPr>
              <w:t xml:space="preserve"> trial</w:t>
            </w:r>
            <w:r>
              <w:rPr>
                <w:rFonts w:asciiTheme="minorHAnsi" w:hAnsiTheme="minorHAnsi" w:cstheme="minorHAnsi"/>
              </w:rPr>
              <w:t>s</w:t>
            </w:r>
            <w:r w:rsidRPr="00044BBD">
              <w:rPr>
                <w:rFonts w:asciiTheme="minorHAnsi" w:hAnsiTheme="minorHAnsi" w:cstheme="minorHAnsi"/>
              </w:rPr>
              <w:t xml:space="preserve"> </w:t>
            </w:r>
            <w:r>
              <w:rPr>
                <w:rFonts w:asciiTheme="minorHAnsi" w:hAnsiTheme="minorHAnsi" w:cstheme="minorHAnsi"/>
              </w:rPr>
              <w:t xml:space="preserve">will be conducted at </w:t>
            </w:r>
            <w:r w:rsidRPr="005D73D3">
              <w:rPr>
                <w:rFonts w:asciiTheme="minorHAnsi" w:hAnsiTheme="minorHAnsi" w:cstheme="minorHAnsi"/>
              </w:rPr>
              <w:t xml:space="preserve">hospitals </w:t>
            </w:r>
            <w:r>
              <w:rPr>
                <w:rFonts w:asciiTheme="minorHAnsi" w:hAnsiTheme="minorHAnsi" w:cstheme="minorHAnsi"/>
              </w:rPr>
              <w:t>within Australia. The number of sites and specific locations are yet to be determined.</w:t>
            </w:r>
          </w:p>
        </w:tc>
      </w:tr>
      <w:tr w:rsidR="00AB197B" w:rsidRPr="002E4447" w:rsidTr="00390732">
        <w:trPr>
          <w:jc w:val="center"/>
        </w:trPr>
        <w:tc>
          <w:tcPr>
            <w:tcW w:w="2681" w:type="dxa"/>
            <w:vAlign w:val="center"/>
          </w:tcPr>
          <w:p w:rsidR="00AB197B" w:rsidRPr="00390732" w:rsidRDefault="00AB197B" w:rsidP="00390732">
            <w:r w:rsidRPr="00390732">
              <w:t>Proposed controls</w:t>
            </w:r>
          </w:p>
        </w:tc>
        <w:tc>
          <w:tcPr>
            <w:tcW w:w="7214" w:type="dxa"/>
            <w:vAlign w:val="center"/>
          </w:tcPr>
          <w:p w:rsidR="00AB197B" w:rsidRPr="00F024DD"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Pr>
                <w:rFonts w:asciiTheme="minorHAnsi" w:hAnsiTheme="minorHAnsi" w:cstheme="minorHAnsi"/>
                <w:szCs w:val="22"/>
              </w:rPr>
              <w:t>The GMO will be administered to trial participants in a hospital setting</w:t>
            </w:r>
          </w:p>
          <w:p w:rsidR="00AB197B" w:rsidRPr="00DA3635" w:rsidRDefault="00AB197B" w:rsidP="00390732">
            <w:pPr>
              <w:pStyle w:val="ListParagraph"/>
              <w:numPr>
                <w:ilvl w:val="0"/>
                <w:numId w:val="9"/>
              </w:numPr>
              <w:tabs>
                <w:tab w:val="left" w:pos="5670"/>
                <w:tab w:val="left" w:pos="6946"/>
                <w:tab w:val="left" w:pos="7655"/>
              </w:tabs>
              <w:spacing w:before="60" w:after="60"/>
              <w:ind w:left="344"/>
              <w:contextualSpacing/>
              <w:rPr>
                <w:rFonts w:cs="Calibri"/>
                <w:szCs w:val="22"/>
              </w:rPr>
            </w:pPr>
            <w:r>
              <w:rPr>
                <w:rFonts w:cs="Calibri"/>
                <w:szCs w:val="22"/>
              </w:rPr>
              <w:t>The GMO will be administered in a closed room</w:t>
            </w:r>
          </w:p>
          <w:p w:rsidR="00AB197B"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Pr>
                <w:rFonts w:asciiTheme="minorHAnsi" w:hAnsiTheme="minorHAnsi" w:cstheme="minorHAnsi"/>
                <w:szCs w:val="22"/>
              </w:rPr>
              <w:t>S</w:t>
            </w:r>
            <w:r w:rsidRPr="00044BBD">
              <w:rPr>
                <w:rFonts w:asciiTheme="minorHAnsi" w:hAnsiTheme="minorHAnsi" w:cstheme="minorHAnsi"/>
                <w:szCs w:val="22"/>
              </w:rPr>
              <w:t xml:space="preserve">taff </w:t>
            </w:r>
            <w:r>
              <w:rPr>
                <w:rFonts w:asciiTheme="minorHAnsi" w:hAnsiTheme="minorHAnsi" w:cstheme="minorHAnsi"/>
                <w:szCs w:val="22"/>
              </w:rPr>
              <w:t>administer</w:t>
            </w:r>
            <w:r w:rsidRPr="00044BBD">
              <w:rPr>
                <w:rFonts w:asciiTheme="minorHAnsi" w:hAnsiTheme="minorHAnsi" w:cstheme="minorHAnsi"/>
                <w:szCs w:val="22"/>
              </w:rPr>
              <w:t xml:space="preserve">ing the GMO </w:t>
            </w:r>
            <w:r>
              <w:rPr>
                <w:rFonts w:asciiTheme="minorHAnsi" w:hAnsiTheme="minorHAnsi" w:cstheme="minorHAnsi"/>
                <w:szCs w:val="22"/>
              </w:rPr>
              <w:t>will wear</w:t>
            </w:r>
            <w:r w:rsidRPr="00044BBD">
              <w:rPr>
                <w:rFonts w:asciiTheme="minorHAnsi" w:hAnsiTheme="minorHAnsi" w:cstheme="minorHAnsi"/>
                <w:szCs w:val="22"/>
              </w:rPr>
              <w:t xml:space="preserve"> personal protective equipment</w:t>
            </w:r>
          </w:p>
          <w:p w:rsidR="00AB197B"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Pr>
                <w:rFonts w:asciiTheme="minorHAnsi" w:hAnsiTheme="minorHAnsi" w:cstheme="minorHAnsi"/>
                <w:szCs w:val="22"/>
              </w:rPr>
              <w:t>W</w:t>
            </w:r>
            <w:r w:rsidRPr="00044BBD">
              <w:rPr>
                <w:rFonts w:asciiTheme="minorHAnsi" w:hAnsiTheme="minorHAnsi" w:cstheme="minorHAnsi"/>
                <w:szCs w:val="22"/>
              </w:rPr>
              <w:t xml:space="preserve">aste that may contain </w:t>
            </w:r>
            <w:r>
              <w:rPr>
                <w:rFonts w:asciiTheme="minorHAnsi" w:hAnsiTheme="minorHAnsi" w:cstheme="minorHAnsi"/>
                <w:szCs w:val="22"/>
              </w:rPr>
              <w:t xml:space="preserve">the </w:t>
            </w:r>
            <w:r w:rsidRPr="00044BBD">
              <w:rPr>
                <w:rFonts w:asciiTheme="minorHAnsi" w:hAnsiTheme="minorHAnsi" w:cstheme="minorHAnsi"/>
                <w:szCs w:val="22"/>
              </w:rPr>
              <w:t xml:space="preserve">GMO </w:t>
            </w:r>
            <w:r>
              <w:rPr>
                <w:rFonts w:asciiTheme="minorHAnsi" w:hAnsiTheme="minorHAnsi" w:cstheme="minorHAnsi"/>
                <w:szCs w:val="22"/>
              </w:rPr>
              <w:t>will be disposed of via the</w:t>
            </w:r>
            <w:r w:rsidRPr="00044BBD">
              <w:rPr>
                <w:rFonts w:asciiTheme="minorHAnsi" w:hAnsiTheme="minorHAnsi" w:cstheme="minorHAnsi"/>
                <w:szCs w:val="22"/>
              </w:rPr>
              <w:t xml:space="preserve"> </w:t>
            </w:r>
            <w:r>
              <w:rPr>
                <w:rFonts w:asciiTheme="minorHAnsi" w:hAnsiTheme="minorHAnsi" w:cstheme="minorHAnsi"/>
                <w:szCs w:val="22"/>
              </w:rPr>
              <w:t>clinical waste stream</w:t>
            </w:r>
          </w:p>
          <w:p w:rsidR="00AB197B" w:rsidRPr="00AD0E46"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sidRPr="00AD0E46">
              <w:rPr>
                <w:rFonts w:asciiTheme="minorHAnsi" w:hAnsiTheme="minorHAnsi" w:cstheme="minorHAnsi"/>
              </w:rPr>
              <w:t>Persons with discernible oral Herpes lesions will be excluded from participating in the trial</w:t>
            </w:r>
          </w:p>
          <w:p w:rsidR="00AB197B" w:rsidRPr="00AD0E46"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sidRPr="00AD0E46">
              <w:rPr>
                <w:rFonts w:asciiTheme="minorHAnsi" w:hAnsiTheme="minorHAnsi" w:cstheme="minorHAnsi"/>
              </w:rPr>
              <w:t>Trial participants will be asked to implement hygiene measures intended to minimise exposure of caregivers and other close contacts</w:t>
            </w:r>
          </w:p>
          <w:p w:rsidR="00AB197B" w:rsidRPr="00044BBD"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sidRPr="00AD0E46">
              <w:rPr>
                <w:rFonts w:asciiTheme="minorHAnsi" w:hAnsiTheme="minorHAnsi" w:cstheme="minorHAnsi"/>
              </w:rPr>
              <w:t>Trial participants will be monitored for signs of active HSV-1 infection and treated with oral antiviral medication if this occurs</w:t>
            </w:r>
          </w:p>
        </w:tc>
      </w:tr>
    </w:tbl>
    <w:p w:rsidR="00AB197B" w:rsidRPr="00262D7C" w:rsidRDefault="00AB197B" w:rsidP="00390732">
      <w:pPr>
        <w:pStyle w:val="Heading2"/>
        <w:rPr>
          <w:rFonts w:eastAsia="SimSun"/>
        </w:rPr>
      </w:pPr>
      <w:bookmarkStart w:id="25" w:name="_Toc76116881"/>
      <w:r w:rsidRPr="00262D7C">
        <w:rPr>
          <w:rFonts w:eastAsia="SimSun"/>
        </w:rPr>
        <w:t>Risk assessment</w:t>
      </w:r>
      <w:bookmarkEnd w:id="25"/>
    </w:p>
    <w:p w:rsidR="00AB197B" w:rsidRDefault="00AB197B" w:rsidP="00390732">
      <w:pPr>
        <w:rPr>
          <w:rFonts w:eastAsia="SimSun"/>
          <w:szCs w:val="22"/>
        </w:rPr>
      </w:pPr>
      <w:r w:rsidRPr="00262D7C">
        <w:t xml:space="preserve">The risk assessment concludes that </w:t>
      </w:r>
      <w:r w:rsidRPr="00725B46">
        <w:rPr>
          <w:rFonts w:asciiTheme="minorHAnsi" w:hAnsiTheme="minorHAnsi"/>
          <w:szCs w:val="22"/>
        </w:rPr>
        <w:t>the proposed clinical trial pose</w:t>
      </w:r>
      <w:r>
        <w:rPr>
          <w:rFonts w:asciiTheme="minorHAnsi" w:hAnsiTheme="minorHAnsi"/>
          <w:szCs w:val="22"/>
        </w:rPr>
        <w:t>s</w:t>
      </w:r>
      <w:r w:rsidRPr="00725B46">
        <w:rPr>
          <w:rFonts w:asciiTheme="minorHAnsi" w:hAnsiTheme="minorHAnsi"/>
          <w:szCs w:val="22"/>
        </w:rPr>
        <w:t xml:space="preserve"> </w:t>
      </w:r>
      <w:r>
        <w:t>negligible</w:t>
      </w:r>
      <w:r>
        <w:rPr>
          <w:rFonts w:asciiTheme="minorHAnsi" w:hAnsiTheme="minorHAnsi"/>
          <w:szCs w:val="22"/>
        </w:rPr>
        <w:t xml:space="preserve"> to moderate</w:t>
      </w:r>
      <w:r w:rsidRPr="00725B46">
        <w:rPr>
          <w:rFonts w:asciiTheme="minorHAnsi" w:hAnsiTheme="minorHAnsi"/>
          <w:szCs w:val="22"/>
        </w:rPr>
        <w:t xml:space="preserve"> risks to human health </w:t>
      </w:r>
      <w:r>
        <w:rPr>
          <w:rFonts w:asciiTheme="minorHAnsi" w:hAnsiTheme="minorHAnsi"/>
          <w:szCs w:val="22"/>
        </w:rPr>
        <w:t xml:space="preserve">and safety </w:t>
      </w:r>
      <w:r w:rsidRPr="00AD02B4">
        <w:rPr>
          <w:rFonts w:asciiTheme="minorHAnsi" w:hAnsiTheme="minorHAnsi"/>
          <w:szCs w:val="22"/>
        </w:rPr>
        <w:t>and negligible risks to the en</w:t>
      </w:r>
      <w:r>
        <w:rPr>
          <w:rFonts w:asciiTheme="minorHAnsi" w:hAnsiTheme="minorHAnsi"/>
          <w:szCs w:val="22"/>
        </w:rPr>
        <w:t xml:space="preserve">vironment, but that these risks can be managed by imposing conditions </w:t>
      </w:r>
      <w:r w:rsidRPr="002A2C3E">
        <w:rPr>
          <w:rFonts w:asciiTheme="minorHAnsi" w:hAnsiTheme="minorHAnsi"/>
          <w:szCs w:val="22"/>
        </w:rPr>
        <w:t>on the conduct of the trial</w:t>
      </w:r>
      <w:r>
        <w:rPr>
          <w:rFonts w:asciiTheme="minorHAnsi" w:hAnsiTheme="minorHAnsi"/>
          <w:szCs w:val="22"/>
        </w:rPr>
        <w:t>.</w:t>
      </w:r>
    </w:p>
    <w:p w:rsidR="00AB197B" w:rsidRPr="00262D7C" w:rsidRDefault="00AB197B" w:rsidP="00390732">
      <w:r w:rsidRPr="00262D7C">
        <w:t>The risk assessment process considers how the genetic modifications and proposed activities conducted with the GMO might lead to harm to people or the environment. Risks are characterised in relation to both the seriousness and likelihood of harm, taking into account information in the application (including proposed controls), relevant previous approvals and current scientific/technical k</w:t>
      </w:r>
      <w:r>
        <w:t xml:space="preserve">nowledge. Both </w:t>
      </w:r>
      <w:r w:rsidRPr="00262D7C">
        <w:t>short and long term impact</w:t>
      </w:r>
      <w:r>
        <w:t>s</w:t>
      </w:r>
      <w:r w:rsidRPr="00262D7C">
        <w:t xml:space="preserve"> are considered.</w:t>
      </w:r>
    </w:p>
    <w:p w:rsidR="00AB197B" w:rsidRPr="00262D7C" w:rsidRDefault="00AB197B" w:rsidP="00390732">
      <w:r w:rsidRPr="00262D7C">
        <w:lastRenderedPageBreak/>
        <w:t xml:space="preserve">Credible pathways to potential harm that were considered </w:t>
      </w:r>
      <w:r w:rsidRPr="00725B46">
        <w:t xml:space="preserve">include exposure of </w:t>
      </w:r>
      <w:r>
        <w:t xml:space="preserve">other </w:t>
      </w:r>
      <w:r w:rsidRPr="00725B46">
        <w:t xml:space="preserve">people </w:t>
      </w:r>
      <w:r>
        <w:t xml:space="preserve">or animals </w:t>
      </w:r>
      <w:r w:rsidRPr="00725B46">
        <w:t>to the GMO</w:t>
      </w:r>
      <w:r>
        <w:t>, expression of CFTR in transduced cells,</w:t>
      </w:r>
      <w:r w:rsidRPr="00725B46">
        <w:t xml:space="preserve"> and the potential for </w:t>
      </w:r>
      <w:r>
        <w:t xml:space="preserve">complementation by, and </w:t>
      </w:r>
      <w:r w:rsidRPr="00725B46">
        <w:t>recombination with</w:t>
      </w:r>
      <w:r>
        <w:t>,</w:t>
      </w:r>
      <w:r w:rsidRPr="00725B46">
        <w:t xml:space="preserve"> </w:t>
      </w:r>
      <w:r>
        <w:t>wild-type HSV-1</w:t>
      </w:r>
      <w:r w:rsidRPr="00725B46">
        <w:t>. Potential harms that were considered in relation to these pathways included</w:t>
      </w:r>
      <w:r>
        <w:t xml:space="preserve"> discomfort or</w:t>
      </w:r>
      <w:r w:rsidRPr="00725B46">
        <w:t xml:space="preserve"> ill </w:t>
      </w:r>
      <w:r w:rsidRPr="00AD02B4">
        <w:t xml:space="preserve">health </w:t>
      </w:r>
      <w:r w:rsidRPr="00AD02B4">
        <w:rPr>
          <w:rFonts w:asciiTheme="minorHAnsi" w:hAnsiTheme="minorHAnsi" w:cstheme="minorHAnsi"/>
          <w:szCs w:val="22"/>
        </w:rPr>
        <w:t>due to inappropriate CFTR expression</w:t>
      </w:r>
      <w:r w:rsidRPr="00725B46">
        <w:t>.</w:t>
      </w:r>
    </w:p>
    <w:p w:rsidR="00AB197B" w:rsidRPr="00325774" w:rsidRDefault="00AB197B" w:rsidP="00390732">
      <w:pPr>
        <w:pStyle w:val="Body"/>
        <w:spacing w:before="120" w:after="120"/>
        <w:rPr>
          <w:rFonts w:asciiTheme="minorHAnsi" w:hAnsiTheme="minorHAnsi" w:cstheme="minorHAnsi"/>
          <w:color w:val="auto"/>
          <w:sz w:val="22"/>
          <w:szCs w:val="22"/>
        </w:rPr>
      </w:pPr>
      <w:r w:rsidRPr="00262D7C">
        <w:rPr>
          <w:rFonts w:asciiTheme="minorHAnsi" w:hAnsiTheme="minorHAnsi" w:cstheme="minorHAnsi"/>
          <w:color w:val="auto"/>
          <w:sz w:val="22"/>
          <w:szCs w:val="22"/>
        </w:rPr>
        <w:t xml:space="preserve">Important factors in reaching the conclusions of the risk assessment included that </w:t>
      </w:r>
      <w:r w:rsidRPr="00325774">
        <w:rPr>
          <w:rFonts w:asciiTheme="minorHAnsi" w:hAnsiTheme="minorHAnsi" w:cstheme="minorHAnsi"/>
          <w:color w:val="auto"/>
          <w:sz w:val="22"/>
          <w:szCs w:val="22"/>
        </w:rPr>
        <w:t>the GM HSV-1 is replication defective</w:t>
      </w:r>
      <w:r>
        <w:rPr>
          <w:rFonts w:asciiTheme="minorHAnsi" w:hAnsiTheme="minorHAnsi" w:cstheme="minorHAnsi"/>
          <w:color w:val="auto"/>
          <w:sz w:val="22"/>
          <w:szCs w:val="22"/>
        </w:rPr>
        <w:t xml:space="preserve">, but also that wild type HSV-1 is highly prevalent in the human population, the route of administration brings the GMO into contact with a common site of HSV-1 infection, and HSVs are known to recombine readily. As a </w:t>
      </w:r>
      <w:r w:rsidRPr="001B30FC">
        <w:rPr>
          <w:rFonts w:asciiTheme="minorHAnsi" w:hAnsiTheme="minorHAnsi" w:cstheme="minorHAnsi"/>
          <w:color w:val="auto"/>
          <w:sz w:val="22"/>
          <w:szCs w:val="22"/>
        </w:rPr>
        <w:t>consequence, replication competent recombinant virus carrying the CFTR transgene may be generated.</w:t>
      </w:r>
    </w:p>
    <w:p w:rsidR="00AB197B" w:rsidRPr="00262D7C" w:rsidRDefault="00AB197B" w:rsidP="00390732">
      <w:pPr>
        <w:pStyle w:val="Paranonumbers"/>
        <w:rPr>
          <w:rFonts w:asciiTheme="minorHAnsi" w:hAnsiTheme="minorHAnsi" w:cstheme="minorHAnsi"/>
          <w:sz w:val="22"/>
          <w:szCs w:val="22"/>
        </w:rPr>
      </w:pPr>
      <w:r w:rsidRPr="00AD02B4">
        <w:rPr>
          <w:rFonts w:asciiTheme="minorHAnsi" w:hAnsiTheme="minorHAnsi" w:cstheme="minorHAnsi"/>
          <w:sz w:val="22"/>
          <w:szCs w:val="22"/>
        </w:rPr>
        <w:t xml:space="preserve">As risks to the health and safety of people have been assessed as </w:t>
      </w:r>
      <w:r w:rsidRPr="003A12FF">
        <w:rPr>
          <w:rFonts w:asciiTheme="minorHAnsi" w:hAnsiTheme="minorHAnsi"/>
          <w:sz w:val="22"/>
          <w:szCs w:val="22"/>
        </w:rPr>
        <w:t>negligible</w:t>
      </w:r>
      <w:r w:rsidRPr="00AD02B4">
        <w:rPr>
          <w:rFonts w:asciiTheme="minorHAnsi" w:hAnsiTheme="minorHAnsi"/>
          <w:sz w:val="22"/>
          <w:szCs w:val="22"/>
        </w:rPr>
        <w:t xml:space="preserve"> to moderate</w:t>
      </w:r>
      <w:r w:rsidRPr="00AD02B4">
        <w:rPr>
          <w:rFonts w:asciiTheme="minorHAnsi" w:hAnsiTheme="minorHAnsi" w:cstheme="minorHAnsi"/>
          <w:sz w:val="22"/>
          <w:szCs w:val="22"/>
        </w:rPr>
        <w:t xml:space="preserve">, and risks to the environment as negligible, the Regulator considers that the dealings involved in the proposed trial of the GM </w:t>
      </w:r>
      <w:r w:rsidRPr="00AD02B4">
        <w:rPr>
          <w:rFonts w:asciiTheme="minorHAnsi" w:hAnsiTheme="minorHAnsi" w:cstheme="minorHAnsi"/>
          <w:i/>
          <w:sz w:val="22"/>
          <w:szCs w:val="22"/>
        </w:rPr>
        <w:t xml:space="preserve">HSV-1 </w:t>
      </w:r>
      <w:r w:rsidRPr="00AD02B4">
        <w:rPr>
          <w:rFonts w:asciiTheme="minorHAnsi" w:hAnsiTheme="minorHAnsi" w:cstheme="minorHAnsi"/>
          <w:sz w:val="22"/>
          <w:szCs w:val="22"/>
        </w:rPr>
        <w:t>can be managed so they do not pose a significant risk to people and the environment.</w:t>
      </w:r>
    </w:p>
    <w:p w:rsidR="00AB197B" w:rsidRPr="00262D7C" w:rsidRDefault="00AB197B" w:rsidP="00AB197B">
      <w:pPr>
        <w:pStyle w:val="Heading1"/>
        <w:rPr>
          <w:rFonts w:eastAsia="SimSun"/>
        </w:rPr>
      </w:pPr>
      <w:bookmarkStart w:id="26" w:name="_Toc76116882"/>
      <w:r w:rsidRPr="00262D7C">
        <w:rPr>
          <w:rFonts w:eastAsia="SimSun"/>
        </w:rPr>
        <w:t>Risk management</w:t>
      </w:r>
      <w:bookmarkEnd w:id="19"/>
      <w:r w:rsidRPr="00262D7C">
        <w:rPr>
          <w:rFonts w:eastAsia="SimSun"/>
        </w:rPr>
        <w:t xml:space="preserve"> plan</w:t>
      </w:r>
      <w:bookmarkEnd w:id="20"/>
      <w:bookmarkEnd w:id="21"/>
      <w:bookmarkEnd w:id="22"/>
      <w:bookmarkEnd w:id="23"/>
      <w:bookmarkEnd w:id="24"/>
      <w:bookmarkEnd w:id="26"/>
    </w:p>
    <w:p w:rsidR="00AB197B" w:rsidRDefault="00AB197B" w:rsidP="00390732">
      <w:pPr>
        <w:spacing w:after="240"/>
        <w:rPr>
          <w:rFonts w:eastAsia="SimSun"/>
          <w:szCs w:val="22"/>
        </w:rPr>
      </w:pPr>
      <w:r w:rsidRPr="00262D7C">
        <w:rPr>
          <w:rFonts w:eastAsia="SimSun"/>
          <w:szCs w:val="22"/>
        </w:rPr>
        <w:t>The risk management plan describes measures to protect the health and safety of people and to protect the environment by controlling or mitigating risk. The risk management plan is given effect through licence conditions</w:t>
      </w:r>
      <w:r>
        <w:rPr>
          <w:rFonts w:eastAsia="SimSun"/>
          <w:szCs w:val="22"/>
        </w:rPr>
        <w:t>, including the following</w:t>
      </w:r>
      <w:r w:rsidRPr="00262D7C">
        <w:rPr>
          <w:rFonts w:eastAsia="SimSun"/>
          <w:szCs w:val="22"/>
        </w:rPr>
        <w:t>.</w:t>
      </w:r>
      <w:r>
        <w:rPr>
          <w:rFonts w:eastAsia="SimSun"/>
          <w:szCs w:val="22"/>
        </w:rPr>
        <w:t xml:space="preserve"> </w:t>
      </w:r>
      <w:r w:rsidRPr="00444DC4">
        <w:t>These measures are considered sufficient to m</w:t>
      </w:r>
      <w:r>
        <w:t>anage the identified</w:t>
      </w:r>
      <w:r w:rsidRPr="00444DC4">
        <w:t xml:space="preserve"> risks.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his table provides summary information about additional limits and controls imposed by the licence. It contains one row, detailing controls imposed in addition to those proposed by the applicant."/>
      </w:tblPr>
      <w:tblGrid>
        <w:gridCol w:w="2681"/>
        <w:gridCol w:w="7214"/>
      </w:tblGrid>
      <w:tr w:rsidR="00AB197B" w:rsidRPr="00CB60FE" w:rsidTr="009671A4">
        <w:trPr>
          <w:tblHeader/>
          <w:jc w:val="center"/>
        </w:trPr>
        <w:tc>
          <w:tcPr>
            <w:tcW w:w="9895" w:type="dxa"/>
            <w:gridSpan w:val="2"/>
            <w:vAlign w:val="center"/>
          </w:tcPr>
          <w:p w:rsidR="00AB197B" w:rsidRPr="005F2643" w:rsidRDefault="00AB197B" w:rsidP="00390732">
            <w:pPr>
              <w:tabs>
                <w:tab w:val="left" w:pos="5670"/>
                <w:tab w:val="left" w:pos="6946"/>
                <w:tab w:val="left" w:pos="7655"/>
              </w:tabs>
              <w:spacing w:before="60" w:after="60"/>
              <w:rPr>
                <w:rFonts w:asciiTheme="minorHAnsi" w:hAnsiTheme="minorHAnsi" w:cstheme="minorHAnsi"/>
                <w:szCs w:val="22"/>
              </w:rPr>
            </w:pPr>
            <w:r w:rsidRPr="005F2643">
              <w:rPr>
                <w:rFonts w:cs="Calibri"/>
                <w:b/>
              </w:rPr>
              <w:t>Limits and controls in addition to those proposed by the applicant</w:t>
            </w:r>
          </w:p>
        </w:tc>
      </w:tr>
      <w:tr w:rsidR="00AB197B" w:rsidRPr="00CB60FE" w:rsidTr="00390732">
        <w:trPr>
          <w:jc w:val="center"/>
        </w:trPr>
        <w:tc>
          <w:tcPr>
            <w:tcW w:w="2681" w:type="dxa"/>
            <w:vAlign w:val="center"/>
          </w:tcPr>
          <w:p w:rsidR="00AB197B" w:rsidRPr="00390732" w:rsidRDefault="00AB197B" w:rsidP="00390732">
            <w:r w:rsidRPr="00390732">
              <w:t>Additional controls imposed by the licence</w:t>
            </w:r>
          </w:p>
        </w:tc>
        <w:tc>
          <w:tcPr>
            <w:tcW w:w="7214" w:type="dxa"/>
            <w:vAlign w:val="center"/>
          </w:tcPr>
          <w:p w:rsidR="00AB197B" w:rsidRPr="005F2643"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sidRPr="005F2643">
              <w:t>Trial participants must be seronegative for HSV-1</w:t>
            </w:r>
          </w:p>
          <w:p w:rsidR="00AB197B" w:rsidRPr="005F2643"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sidRPr="005F2643">
              <w:t xml:space="preserve">After treatment, trial participants must be tested weekly for primary HSV 1 infection </w:t>
            </w:r>
            <w:r w:rsidRPr="005F2643">
              <w:rPr>
                <w:rFonts w:asciiTheme="minorHAnsi" w:hAnsiTheme="minorHAnsi" w:cstheme="minorHAnsi"/>
              </w:rPr>
              <w:t>by diagnostic laboratory testing</w:t>
            </w:r>
            <w:r w:rsidRPr="005F2643">
              <w:t xml:space="preserve"> and offered oral anti-viral medication if they acquire an infection</w:t>
            </w:r>
          </w:p>
          <w:p w:rsidR="00AB197B" w:rsidRPr="005F2643"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sidRPr="005F2643">
              <w:t>Clinical trial staff must be protected from aerosol exposure</w:t>
            </w:r>
          </w:p>
          <w:p w:rsidR="00AB197B" w:rsidRPr="005F2643"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sidRPr="005F2643">
              <w:rPr>
                <w:rFonts w:asciiTheme="minorHAnsi" w:hAnsiTheme="minorHAnsi" w:cstheme="minorHAnsi"/>
                <w:szCs w:val="22"/>
              </w:rPr>
              <w:t>A plan to limit exposure of people other than trial participants must be developed in consultation with each clinical trial site</w:t>
            </w:r>
          </w:p>
          <w:p w:rsidR="00AB197B" w:rsidRPr="005F2643" w:rsidRDefault="00AB197B" w:rsidP="00390732">
            <w:pPr>
              <w:pStyle w:val="ListParagraph"/>
              <w:numPr>
                <w:ilvl w:val="0"/>
                <w:numId w:val="9"/>
              </w:numPr>
              <w:tabs>
                <w:tab w:val="left" w:pos="5670"/>
                <w:tab w:val="left" w:pos="6946"/>
                <w:tab w:val="left" w:pos="7655"/>
              </w:tabs>
              <w:spacing w:before="60" w:after="60"/>
              <w:contextualSpacing/>
              <w:rPr>
                <w:rFonts w:asciiTheme="minorHAnsi" w:hAnsiTheme="minorHAnsi" w:cstheme="minorHAnsi"/>
                <w:szCs w:val="22"/>
              </w:rPr>
            </w:pPr>
            <w:r w:rsidRPr="005F2643">
              <w:t>Hygiene measures implemented by t</w:t>
            </w:r>
            <w:r w:rsidRPr="005F2643">
              <w:rPr>
                <w:rFonts w:asciiTheme="minorHAnsi" w:hAnsiTheme="minorHAnsi" w:cstheme="minorHAnsi"/>
              </w:rPr>
              <w:t>rial participants to minimise exposure of close contacts must be in place for 48 hours</w:t>
            </w:r>
          </w:p>
        </w:tc>
      </w:tr>
    </w:tbl>
    <w:p w:rsidR="00AB197B" w:rsidRPr="00262D7C" w:rsidRDefault="00AB197B" w:rsidP="00390732">
      <w:pPr>
        <w:spacing w:before="240"/>
        <w:rPr>
          <w:rFonts w:asciiTheme="minorHAnsi" w:hAnsiTheme="minorHAnsi"/>
          <w:sz w:val="24"/>
        </w:rPr>
      </w:pPr>
      <w:r>
        <w:rPr>
          <w:rFonts w:eastAsia="SimSun"/>
          <w:szCs w:val="22"/>
        </w:rPr>
        <w:t>S</w:t>
      </w:r>
      <w:r w:rsidRPr="00262D7C">
        <w:rPr>
          <w:rFonts w:eastAsia="SimSun"/>
          <w:szCs w:val="22"/>
        </w:rPr>
        <w:t xml:space="preserve">ince this is a clinical trial, the licence </w:t>
      </w:r>
      <w:r>
        <w:rPr>
          <w:rFonts w:eastAsia="SimSun"/>
          <w:szCs w:val="22"/>
        </w:rPr>
        <w:t xml:space="preserve">also </w:t>
      </w:r>
      <w:r w:rsidRPr="00325774">
        <w:rPr>
          <w:rFonts w:eastAsia="SimSun"/>
          <w:szCs w:val="22"/>
        </w:rPr>
        <w:t xml:space="preserve">includes limits on the number of trial participants, </w:t>
      </w:r>
      <w:r>
        <w:rPr>
          <w:rFonts w:eastAsia="SimSun"/>
          <w:szCs w:val="22"/>
        </w:rPr>
        <w:t>types of facility where the trial may be conducted</w:t>
      </w:r>
      <w:r w:rsidRPr="00325774">
        <w:rPr>
          <w:rFonts w:eastAsia="SimSun"/>
          <w:szCs w:val="22"/>
        </w:rPr>
        <w:t xml:space="preserve">, </w:t>
      </w:r>
      <w:r>
        <w:rPr>
          <w:rFonts w:eastAsia="SimSun"/>
          <w:szCs w:val="22"/>
        </w:rPr>
        <w:t>and</w:t>
      </w:r>
      <w:r w:rsidRPr="00325774">
        <w:rPr>
          <w:rFonts w:eastAsia="SimSun"/>
          <w:szCs w:val="22"/>
        </w:rPr>
        <w:t xml:space="preserve"> on the duration of the trial</w:t>
      </w:r>
      <w:r w:rsidRPr="00262D7C">
        <w:rPr>
          <w:rFonts w:eastAsia="SimSun"/>
          <w:szCs w:val="22"/>
        </w:rPr>
        <w:t xml:space="preserve">. </w:t>
      </w:r>
      <w:r>
        <w:rPr>
          <w:rFonts w:eastAsia="SimSun"/>
          <w:szCs w:val="22"/>
        </w:rPr>
        <w:t>T</w:t>
      </w:r>
      <w:r w:rsidRPr="00262D7C">
        <w:rPr>
          <w:rFonts w:eastAsia="SimSun"/>
          <w:szCs w:val="22"/>
        </w:rPr>
        <w:t xml:space="preserve">here are </w:t>
      </w:r>
      <w:r>
        <w:rPr>
          <w:rFonts w:eastAsia="SimSun"/>
          <w:szCs w:val="22"/>
        </w:rPr>
        <w:t xml:space="preserve">also </w:t>
      </w:r>
      <w:r w:rsidRPr="00262D7C">
        <w:rPr>
          <w:rFonts w:eastAsia="SimSun"/>
          <w:szCs w:val="22"/>
        </w:rPr>
        <w:t>several general conditions relating to ongoing licence holder suitability, auditing and monitoring, and reporting requirements which include an obligation to report any unintended effects.</w:t>
      </w:r>
    </w:p>
    <w:sectPr w:rsidR="00AB197B" w:rsidRPr="00262D7C" w:rsidSect="00AB197B">
      <w:footerReference w:type="default" r:id="rId9"/>
      <w:headerReference w:type="first" r:id="rId10"/>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A6" w:rsidRDefault="008A1EA6" w:rsidP="008A1EA6">
      <w:pPr>
        <w:spacing w:before="0" w:after="0"/>
      </w:pPr>
      <w:r>
        <w:separator/>
      </w:r>
    </w:p>
  </w:endnote>
  <w:endnote w:type="continuationSeparator" w:id="0">
    <w:p w:rsidR="008A1EA6" w:rsidRDefault="008A1EA6" w:rsidP="008A1E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EE" w:rsidRPr="00236287" w:rsidRDefault="008220EE" w:rsidP="00153788">
    <w:pPr>
      <w:pBdr>
        <w:top w:val="single" w:sz="8" w:space="1" w:color="auto"/>
      </w:pBdr>
      <w:spacing w:after="0"/>
      <w:contextualSpacing/>
      <w:jc w:val="center"/>
      <w:rPr>
        <w:rFonts w:cs="Calibri"/>
        <w:noProof/>
        <w:sz w:val="20"/>
        <w:szCs w:val="20"/>
      </w:rPr>
    </w:pPr>
    <w:r w:rsidRPr="00236287">
      <w:rPr>
        <w:rFonts w:cs="Calibri"/>
        <w:noProof/>
        <w:sz w:val="20"/>
        <w:szCs w:val="20"/>
      </w:rPr>
      <w:t>Address: MDP 54 GPO Box 9848, Canberra ACT 2601  Website: www.ogtr.gov.au</w:t>
    </w:r>
  </w:p>
  <w:p w:rsidR="008220EE" w:rsidRDefault="008220EE" w:rsidP="00153788">
    <w:pPr>
      <w:pStyle w:val="Footer"/>
      <w:spacing w:after="120"/>
      <w:contextualSpacing/>
      <w:jc w:val="center"/>
    </w:pPr>
    <w:r w:rsidRPr="00236287">
      <w:rPr>
        <w:rFonts w:cs="Calibri"/>
        <w:noProof/>
        <w:sz w:val="20"/>
        <w:szCs w:val="20"/>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A6" w:rsidRDefault="008A1EA6" w:rsidP="008A1EA6">
      <w:pPr>
        <w:spacing w:before="0" w:after="0"/>
      </w:pPr>
      <w:r>
        <w:separator/>
      </w:r>
    </w:p>
  </w:footnote>
  <w:footnote w:type="continuationSeparator" w:id="0">
    <w:p w:rsidR="008A1EA6" w:rsidRDefault="008A1EA6" w:rsidP="008A1EA6">
      <w:pPr>
        <w:spacing w:before="0" w:after="0"/>
      </w:pPr>
      <w:r>
        <w:continuationSeparator/>
      </w:r>
    </w:p>
  </w:footnote>
  <w:footnote w:id="1">
    <w:p w:rsidR="00AB197B" w:rsidRPr="0026559D" w:rsidRDefault="00AB197B" w:rsidP="00AB197B">
      <w:pPr>
        <w:pStyle w:val="FootnoteText"/>
        <w:rPr>
          <w:rFonts w:asciiTheme="minorHAnsi" w:hAnsiTheme="minorHAnsi" w:cstheme="minorHAnsi"/>
          <w:szCs w:val="22"/>
        </w:rPr>
      </w:pPr>
      <w:r w:rsidRPr="0026559D">
        <w:rPr>
          <w:rStyle w:val="FootnoteReference"/>
          <w:rFonts w:asciiTheme="minorHAnsi" w:hAnsiTheme="minorHAnsi" w:cstheme="minorHAnsi"/>
          <w:szCs w:val="22"/>
        </w:rPr>
        <w:footnoteRef/>
      </w:r>
      <w:r w:rsidRPr="0026559D">
        <w:rPr>
          <w:rFonts w:asciiTheme="minorHAnsi" w:hAnsiTheme="minorHAnsi" w:cstheme="minorHAnsi"/>
          <w:szCs w:val="22"/>
        </w:rPr>
        <w:t xml:space="preserve"> The title of the application submitted by </w:t>
      </w:r>
      <w:proofErr w:type="spellStart"/>
      <w:r w:rsidRPr="0026559D">
        <w:rPr>
          <w:rFonts w:asciiTheme="minorHAnsi" w:hAnsiTheme="minorHAnsi" w:cstheme="minorHAnsi"/>
          <w:szCs w:val="22"/>
        </w:rPr>
        <w:t>Novotech</w:t>
      </w:r>
      <w:proofErr w:type="spellEnd"/>
      <w:r w:rsidRPr="0026559D">
        <w:rPr>
          <w:rFonts w:asciiTheme="minorHAnsi" w:hAnsiTheme="minorHAnsi" w:cstheme="minorHAnsi"/>
          <w:szCs w:val="22"/>
        </w:rPr>
        <w:t xml:space="preserve"> was ‘KB407 for the treatment of Cystic Fibrosis’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EE" w:rsidRDefault="008220EE" w:rsidP="00AB197B">
    <w:pPr>
      <w:pStyle w:val="Header"/>
    </w:pPr>
    <w:r w:rsidRPr="00542559">
      <w:rPr>
        <w:rFonts w:cs="Calibri"/>
        <w:noProof/>
        <w:szCs w:val="22"/>
      </w:rPr>
      <w:drawing>
        <wp:inline distT="0" distB="0" distL="0" distR="0" wp14:anchorId="1105160A" wp14:editId="0B2B41E5">
          <wp:extent cx="3337200" cy="950400"/>
          <wp:effectExtent l="0" t="0" r="0" b="254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sidR="00AB197B">
      <w:tab/>
      <w:t>7 July</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3"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30D0491"/>
    <w:multiLevelType w:val="hybridMultilevel"/>
    <w:tmpl w:val="C4125AB4"/>
    <w:lvl w:ilvl="0" w:tplc="103C176E">
      <w:start w:val="1"/>
      <w:numFmt w:val="decimal"/>
      <w:pStyle w:val="RARMPnumberedparagraphs"/>
      <w:lvlText w:val="%1."/>
      <w:lvlJc w:val="left"/>
      <w:pPr>
        <w:ind w:left="8441"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5"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607CB7"/>
    <w:multiLevelType w:val="hybridMultilevel"/>
    <w:tmpl w:val="D260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F547FF"/>
    <w:multiLevelType w:val="hybridMultilevel"/>
    <w:tmpl w:val="D4685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A6"/>
    <w:rsid w:val="0009657C"/>
    <w:rsid w:val="00153788"/>
    <w:rsid w:val="00280050"/>
    <w:rsid w:val="003147A2"/>
    <w:rsid w:val="00390732"/>
    <w:rsid w:val="008220EE"/>
    <w:rsid w:val="008A1EA6"/>
    <w:rsid w:val="008F5B45"/>
    <w:rsid w:val="009671A4"/>
    <w:rsid w:val="00AB197B"/>
    <w:rsid w:val="00CA6CB2"/>
    <w:rsid w:val="00CE7DE9"/>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6338F44-4723-40EA-AA7C-8107AC79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EA6"/>
    <w:pPr>
      <w:spacing w:before="120" w:after="120" w:line="240" w:lineRule="auto"/>
    </w:pPr>
    <w:rPr>
      <w:rFonts w:ascii="Calibri" w:eastAsia="Times New Roman" w:hAnsi="Calibri"/>
      <w:sz w:val="22"/>
      <w:lang w:eastAsia="en-AU"/>
    </w:rPr>
  </w:style>
  <w:style w:type="paragraph" w:styleId="Heading1">
    <w:name w:val="heading 1"/>
    <w:basedOn w:val="Normal"/>
    <w:next w:val="Normal"/>
    <w:link w:val="Heading1Char"/>
    <w:autoRedefine/>
    <w:qFormat/>
    <w:rsid w:val="00AB197B"/>
    <w:pPr>
      <w:keepNext/>
      <w:tabs>
        <w:tab w:val="left" w:pos="2268"/>
      </w:tabs>
      <w:spacing w:before="240" w:after="60"/>
      <w:ind w:left="1814" w:right="-188" w:hanging="1814"/>
      <w:outlineLvl w:val="0"/>
    </w:pPr>
    <w:rPr>
      <w:rFonts w:cs="Arial"/>
      <w:b/>
      <w:snapToGrid w:val="0"/>
      <w:sz w:val="36"/>
      <w:szCs w:val="36"/>
      <w:lang w:eastAsia="en-US"/>
    </w:rPr>
  </w:style>
  <w:style w:type="paragraph" w:styleId="Heading2">
    <w:name w:val="heading 2"/>
    <w:basedOn w:val="Normal"/>
    <w:next w:val="Normal"/>
    <w:link w:val="Heading2Char"/>
    <w:qFormat/>
    <w:rsid w:val="00390732"/>
    <w:pPr>
      <w:keepNext/>
      <w:tabs>
        <w:tab w:val="left" w:pos="1418"/>
      </w:tabs>
      <w:spacing w:before="240" w:after="60"/>
      <w:outlineLvl w:val="1"/>
    </w:pPr>
    <w:rPr>
      <w:b/>
      <w:sz w:val="32"/>
      <w:szCs w:val="28"/>
    </w:rPr>
  </w:style>
  <w:style w:type="paragraph" w:styleId="Heading3">
    <w:name w:val="heading 3"/>
    <w:basedOn w:val="Normal"/>
    <w:next w:val="Normal"/>
    <w:link w:val="Heading3Char"/>
    <w:qFormat/>
    <w:rsid w:val="008A1EA6"/>
    <w:pPr>
      <w:keepNext/>
      <w:numPr>
        <w:ilvl w:val="2"/>
        <w:numId w:val="3"/>
      </w:numPr>
      <w:tabs>
        <w:tab w:val="left" w:pos="851"/>
      </w:tabs>
      <w:outlineLvl w:val="2"/>
    </w:pPr>
    <w:rPr>
      <w:rFonts w:ascii="Arial (W1)" w:hAnsi="Arial (W1)"/>
      <w:b/>
      <w:szCs w:val="20"/>
    </w:rPr>
  </w:style>
  <w:style w:type="paragraph" w:styleId="Heading4">
    <w:name w:val="heading 4"/>
    <w:basedOn w:val="Normal"/>
    <w:next w:val="Normal"/>
    <w:link w:val="Heading4Char"/>
    <w:qFormat/>
    <w:rsid w:val="008A1EA6"/>
    <w:pPr>
      <w:keepNext/>
      <w:numPr>
        <w:ilvl w:val="3"/>
        <w:numId w:val="3"/>
      </w:numPr>
      <w:tabs>
        <w:tab w:val="left" w:pos="851"/>
      </w:tabs>
      <w:outlineLvl w:val="3"/>
    </w:pPr>
    <w:rPr>
      <w:rFonts w:ascii="Arial (W1)" w:hAnsi="Arial (W1)"/>
      <w:b/>
      <w:i/>
      <w:szCs w:val="22"/>
    </w:rPr>
  </w:style>
  <w:style w:type="paragraph" w:styleId="Heading5">
    <w:name w:val="heading 5"/>
    <w:basedOn w:val="Normal"/>
    <w:next w:val="Normal"/>
    <w:link w:val="Heading5Char"/>
    <w:qFormat/>
    <w:rsid w:val="008A1EA6"/>
    <w:pPr>
      <w:keepNext/>
      <w:numPr>
        <w:ilvl w:val="4"/>
        <w:numId w:val="3"/>
      </w:numPr>
      <w:spacing w:before="240" w:after="60"/>
      <w:outlineLvl w:val="4"/>
    </w:pPr>
    <w:rPr>
      <w:bCs/>
      <w:iCs/>
      <w:u w:val="single"/>
    </w:rPr>
  </w:style>
  <w:style w:type="paragraph" w:styleId="Heading6">
    <w:name w:val="heading 6"/>
    <w:basedOn w:val="Normal"/>
    <w:next w:val="Normal"/>
    <w:link w:val="Heading6Char"/>
    <w:unhideWhenUsed/>
    <w:qFormat/>
    <w:rsid w:val="008A1EA6"/>
    <w:pPr>
      <w:numPr>
        <w:ilvl w:val="5"/>
        <w:numId w:val="3"/>
      </w:numPr>
      <w:spacing w:before="240" w:after="60"/>
      <w:outlineLvl w:val="5"/>
    </w:pPr>
    <w:rPr>
      <w:b/>
      <w:bCs/>
      <w:szCs w:val="22"/>
    </w:rPr>
  </w:style>
  <w:style w:type="paragraph" w:styleId="Heading7">
    <w:name w:val="heading 7"/>
    <w:basedOn w:val="Normal"/>
    <w:next w:val="Normal"/>
    <w:link w:val="Heading7Char"/>
    <w:unhideWhenUsed/>
    <w:qFormat/>
    <w:rsid w:val="008A1EA6"/>
    <w:pPr>
      <w:numPr>
        <w:ilvl w:val="6"/>
        <w:numId w:val="3"/>
      </w:numPr>
      <w:spacing w:before="240" w:after="60"/>
      <w:outlineLvl w:val="6"/>
    </w:pPr>
  </w:style>
  <w:style w:type="paragraph" w:styleId="Heading8">
    <w:name w:val="heading 8"/>
    <w:basedOn w:val="Normal"/>
    <w:next w:val="Normal"/>
    <w:link w:val="Heading8Char"/>
    <w:qFormat/>
    <w:rsid w:val="008A1EA6"/>
    <w:pPr>
      <w:numPr>
        <w:ilvl w:val="7"/>
        <w:numId w:val="3"/>
      </w:numPr>
      <w:spacing w:before="240" w:after="60"/>
      <w:outlineLvl w:val="7"/>
    </w:pPr>
    <w:rPr>
      <w:i/>
      <w:iCs/>
    </w:rPr>
  </w:style>
  <w:style w:type="paragraph" w:styleId="Heading9">
    <w:name w:val="heading 9"/>
    <w:basedOn w:val="Normal"/>
    <w:next w:val="Normal"/>
    <w:link w:val="Heading9Char"/>
    <w:unhideWhenUsed/>
    <w:qFormat/>
    <w:rsid w:val="008A1EA6"/>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97B"/>
    <w:rPr>
      <w:rFonts w:ascii="Calibri" w:eastAsia="Times New Roman" w:hAnsi="Calibri" w:cs="Arial"/>
      <w:b/>
      <w:snapToGrid w:val="0"/>
      <w:sz w:val="36"/>
      <w:szCs w:val="36"/>
    </w:rPr>
  </w:style>
  <w:style w:type="character" w:customStyle="1" w:styleId="Heading2Char">
    <w:name w:val="Heading 2 Char"/>
    <w:basedOn w:val="DefaultParagraphFont"/>
    <w:link w:val="Heading2"/>
    <w:rsid w:val="00390732"/>
    <w:rPr>
      <w:rFonts w:ascii="Calibri" w:eastAsia="Times New Roman" w:hAnsi="Calibri"/>
      <w:b/>
      <w:sz w:val="32"/>
      <w:szCs w:val="28"/>
      <w:lang w:eastAsia="en-AU"/>
    </w:rPr>
  </w:style>
  <w:style w:type="character" w:customStyle="1" w:styleId="Heading3Char">
    <w:name w:val="Heading 3 Char"/>
    <w:basedOn w:val="DefaultParagraphFont"/>
    <w:link w:val="Heading3"/>
    <w:rsid w:val="008A1EA6"/>
    <w:rPr>
      <w:rFonts w:ascii="Arial (W1)" w:eastAsia="Times New Roman" w:hAnsi="Arial (W1)"/>
      <w:b/>
      <w:sz w:val="22"/>
      <w:szCs w:val="20"/>
      <w:lang w:eastAsia="en-AU"/>
    </w:rPr>
  </w:style>
  <w:style w:type="character" w:customStyle="1" w:styleId="Heading4Char">
    <w:name w:val="Heading 4 Char"/>
    <w:basedOn w:val="DefaultParagraphFont"/>
    <w:link w:val="Heading4"/>
    <w:rsid w:val="008A1EA6"/>
    <w:rPr>
      <w:rFonts w:ascii="Arial (W1)" w:eastAsia="Times New Roman" w:hAnsi="Arial (W1)"/>
      <w:b/>
      <w:i/>
      <w:sz w:val="22"/>
      <w:szCs w:val="22"/>
      <w:lang w:eastAsia="en-AU"/>
    </w:rPr>
  </w:style>
  <w:style w:type="character" w:customStyle="1" w:styleId="Heading5Char">
    <w:name w:val="Heading 5 Char"/>
    <w:basedOn w:val="DefaultParagraphFont"/>
    <w:link w:val="Heading5"/>
    <w:rsid w:val="008A1EA6"/>
    <w:rPr>
      <w:rFonts w:ascii="Calibri" w:eastAsia="Times New Roman" w:hAnsi="Calibri"/>
      <w:bCs/>
      <w:iCs/>
      <w:sz w:val="22"/>
      <w:u w:val="single"/>
      <w:lang w:eastAsia="en-AU"/>
    </w:rPr>
  </w:style>
  <w:style w:type="character" w:customStyle="1" w:styleId="Heading6Char">
    <w:name w:val="Heading 6 Char"/>
    <w:basedOn w:val="DefaultParagraphFont"/>
    <w:link w:val="Heading6"/>
    <w:rsid w:val="008A1EA6"/>
    <w:rPr>
      <w:rFonts w:ascii="Calibri" w:eastAsia="Times New Roman" w:hAnsi="Calibri"/>
      <w:b/>
      <w:bCs/>
      <w:sz w:val="22"/>
      <w:szCs w:val="22"/>
      <w:lang w:eastAsia="en-AU"/>
    </w:rPr>
  </w:style>
  <w:style w:type="character" w:customStyle="1" w:styleId="Heading7Char">
    <w:name w:val="Heading 7 Char"/>
    <w:basedOn w:val="DefaultParagraphFont"/>
    <w:link w:val="Heading7"/>
    <w:rsid w:val="008A1EA6"/>
    <w:rPr>
      <w:rFonts w:ascii="Calibri" w:eastAsia="Times New Roman" w:hAnsi="Calibri"/>
      <w:sz w:val="22"/>
      <w:lang w:eastAsia="en-AU"/>
    </w:rPr>
  </w:style>
  <w:style w:type="character" w:customStyle="1" w:styleId="Heading8Char">
    <w:name w:val="Heading 8 Char"/>
    <w:basedOn w:val="DefaultParagraphFont"/>
    <w:link w:val="Heading8"/>
    <w:rsid w:val="008A1EA6"/>
    <w:rPr>
      <w:rFonts w:ascii="Calibri" w:eastAsia="Times New Roman" w:hAnsi="Calibri"/>
      <w:i/>
      <w:iCs/>
      <w:sz w:val="22"/>
      <w:lang w:eastAsia="en-AU"/>
    </w:rPr>
  </w:style>
  <w:style w:type="character" w:customStyle="1" w:styleId="Heading9Char">
    <w:name w:val="Heading 9 Char"/>
    <w:basedOn w:val="DefaultParagraphFont"/>
    <w:link w:val="Heading9"/>
    <w:rsid w:val="008A1EA6"/>
    <w:rPr>
      <w:rFonts w:ascii="Arial" w:eastAsia="Times New Roman" w:hAnsi="Arial" w:cs="Arial"/>
      <w:sz w:val="22"/>
      <w:szCs w:val="22"/>
      <w:lang w:eastAsia="en-AU"/>
    </w:rPr>
  </w:style>
  <w:style w:type="character" w:styleId="FootnoteReference">
    <w:name w:val="footnote reference"/>
    <w:rsid w:val="008A1EA6"/>
    <w:rPr>
      <w:vertAlign w:val="superscript"/>
    </w:rPr>
  </w:style>
  <w:style w:type="paragraph" w:customStyle="1" w:styleId="RARMPnumberedparagraphs">
    <w:name w:val="RARMP numbered paragraphs"/>
    <w:basedOn w:val="ListParagraph"/>
    <w:link w:val="RARMPnumberedparagraphsChar"/>
    <w:qFormat/>
    <w:rsid w:val="008A1EA6"/>
    <w:pPr>
      <w:numPr>
        <w:numId w:val="1"/>
      </w:numPr>
      <w:tabs>
        <w:tab w:val="num" w:pos="567"/>
      </w:tabs>
      <w:ind w:left="0" w:firstLine="0"/>
    </w:pPr>
    <w:rPr>
      <w:rFonts w:eastAsia="Times New Roman"/>
      <w:lang w:eastAsia="en-AU"/>
    </w:rPr>
  </w:style>
  <w:style w:type="character" w:styleId="Hyperlink">
    <w:name w:val="Hyperlink"/>
    <w:basedOn w:val="DefaultParagraphFont"/>
    <w:uiPriority w:val="99"/>
    <w:rsid w:val="008A1EA6"/>
    <w:rPr>
      <w:u w:val="single"/>
    </w:rPr>
  </w:style>
  <w:style w:type="character" w:customStyle="1" w:styleId="ListParagraphChar">
    <w:name w:val="List Paragraph Char"/>
    <w:basedOn w:val="DefaultParagraphFont"/>
    <w:link w:val="ListParagraph"/>
    <w:uiPriority w:val="34"/>
    <w:rsid w:val="008A1EA6"/>
    <w:rPr>
      <w:rFonts w:ascii="Calibri" w:hAnsi="Calibri"/>
      <w:sz w:val="22"/>
    </w:rPr>
  </w:style>
  <w:style w:type="character" w:customStyle="1" w:styleId="RARMPnumberedparagraphsChar">
    <w:name w:val="RARMP numbered paragraphs Char"/>
    <w:basedOn w:val="ListParagraphChar"/>
    <w:link w:val="RARMPnumberedparagraphs"/>
    <w:rsid w:val="008A1EA6"/>
    <w:rPr>
      <w:rFonts w:ascii="Calibri" w:eastAsia="Times New Roman" w:hAnsi="Calibri"/>
      <w:sz w:val="22"/>
      <w:lang w:eastAsia="en-AU"/>
    </w:rPr>
  </w:style>
  <w:style w:type="paragraph" w:styleId="ListParagraph">
    <w:name w:val="List Paragraph"/>
    <w:basedOn w:val="Normal"/>
    <w:link w:val="ListParagraphChar"/>
    <w:uiPriority w:val="34"/>
    <w:qFormat/>
    <w:rsid w:val="008A1EA6"/>
    <w:pPr>
      <w:ind w:left="720"/>
    </w:pPr>
    <w:rPr>
      <w:rFonts w:eastAsiaTheme="minorHAnsi"/>
      <w:lang w:eastAsia="en-US"/>
    </w:rPr>
  </w:style>
  <w:style w:type="paragraph" w:customStyle="1" w:styleId="Para">
    <w:name w:val="Para"/>
    <w:basedOn w:val="Normal"/>
    <w:link w:val="ParaCharChar"/>
    <w:autoRedefine/>
    <w:rsid w:val="008A1EA6"/>
    <w:pPr>
      <w:numPr>
        <w:numId w:val="2"/>
      </w:numPr>
      <w:tabs>
        <w:tab w:val="clear" w:pos="6755"/>
        <w:tab w:val="left" w:pos="567"/>
        <w:tab w:val="num" w:pos="771"/>
      </w:tabs>
    </w:pPr>
    <w:rPr>
      <w:rFonts w:ascii="Times New Roman" w:hAnsi="Times New Roman"/>
      <w:sz w:val="24"/>
    </w:rPr>
  </w:style>
  <w:style w:type="paragraph" w:customStyle="1" w:styleId="RIGHTLIST">
    <w:name w:val="RIGHTLIST"/>
    <w:basedOn w:val="Normal"/>
    <w:link w:val="RIGHTLISTChar"/>
    <w:rsid w:val="008A1EA6"/>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8A1EA6"/>
    <w:rPr>
      <w:rFonts w:eastAsia="Times New Roman"/>
      <w:sz w:val="22"/>
      <w:szCs w:val="22"/>
      <w:lang w:eastAsia="en-AU"/>
    </w:rPr>
  </w:style>
  <w:style w:type="character" w:customStyle="1" w:styleId="ParaCharChar">
    <w:name w:val="Para Char Char"/>
    <w:basedOn w:val="DefaultParagraphFont"/>
    <w:link w:val="Para"/>
    <w:locked/>
    <w:rsid w:val="008A1EA6"/>
    <w:rPr>
      <w:rFonts w:eastAsia="Times New Roman"/>
      <w:lang w:eastAsia="en-AU"/>
    </w:rPr>
  </w:style>
  <w:style w:type="paragraph" w:styleId="Header">
    <w:name w:val="header"/>
    <w:basedOn w:val="Normal"/>
    <w:link w:val="HeaderChar"/>
    <w:uiPriority w:val="99"/>
    <w:unhideWhenUsed/>
    <w:rsid w:val="008A1EA6"/>
    <w:pPr>
      <w:tabs>
        <w:tab w:val="center" w:pos="4513"/>
        <w:tab w:val="right" w:pos="9026"/>
      </w:tabs>
      <w:spacing w:before="0" w:after="0"/>
    </w:pPr>
  </w:style>
  <w:style w:type="character" w:customStyle="1" w:styleId="HeaderChar">
    <w:name w:val="Header Char"/>
    <w:basedOn w:val="DefaultParagraphFont"/>
    <w:link w:val="Header"/>
    <w:uiPriority w:val="99"/>
    <w:rsid w:val="008A1EA6"/>
    <w:rPr>
      <w:rFonts w:ascii="Calibri" w:eastAsia="Times New Roman" w:hAnsi="Calibri"/>
      <w:sz w:val="22"/>
      <w:lang w:eastAsia="en-AU"/>
    </w:rPr>
  </w:style>
  <w:style w:type="paragraph" w:styleId="Footer">
    <w:name w:val="footer"/>
    <w:basedOn w:val="Normal"/>
    <w:link w:val="FooterChar"/>
    <w:uiPriority w:val="99"/>
    <w:unhideWhenUsed/>
    <w:rsid w:val="008A1EA6"/>
    <w:pPr>
      <w:tabs>
        <w:tab w:val="center" w:pos="4513"/>
        <w:tab w:val="right" w:pos="9026"/>
      </w:tabs>
      <w:spacing w:before="0" w:after="0"/>
    </w:pPr>
  </w:style>
  <w:style w:type="character" w:customStyle="1" w:styleId="FooterChar">
    <w:name w:val="Footer Char"/>
    <w:basedOn w:val="DefaultParagraphFont"/>
    <w:link w:val="Footer"/>
    <w:uiPriority w:val="99"/>
    <w:rsid w:val="008A1EA6"/>
    <w:rPr>
      <w:rFonts w:ascii="Calibri" w:eastAsia="Times New Roman" w:hAnsi="Calibri"/>
      <w:sz w:val="22"/>
      <w:lang w:eastAsia="en-AU"/>
    </w:rPr>
  </w:style>
  <w:style w:type="paragraph" w:styleId="FootnoteText">
    <w:name w:val="footnote text"/>
    <w:basedOn w:val="Normal"/>
    <w:link w:val="FootnoteTextChar"/>
    <w:rsid w:val="00AB197B"/>
    <w:pPr>
      <w:spacing w:before="0" w:after="0"/>
    </w:pPr>
    <w:rPr>
      <w:rFonts w:eastAsiaTheme="minorEastAsia"/>
      <w:sz w:val="20"/>
      <w:szCs w:val="20"/>
    </w:rPr>
  </w:style>
  <w:style w:type="character" w:customStyle="1" w:styleId="FootnoteTextChar">
    <w:name w:val="Footnote Text Char"/>
    <w:basedOn w:val="DefaultParagraphFont"/>
    <w:link w:val="FootnoteText"/>
    <w:rsid w:val="00AB197B"/>
    <w:rPr>
      <w:rFonts w:ascii="Calibri" w:eastAsiaTheme="minorEastAsia" w:hAnsi="Calibri"/>
      <w:sz w:val="20"/>
      <w:szCs w:val="20"/>
      <w:lang w:eastAsia="en-AU"/>
    </w:rPr>
  </w:style>
  <w:style w:type="paragraph" w:customStyle="1" w:styleId="LEFTLIST">
    <w:name w:val="LEFTLIST"/>
    <w:basedOn w:val="Heading1"/>
    <w:rsid w:val="00AB197B"/>
    <w:pPr>
      <w:tabs>
        <w:tab w:val="clear" w:pos="2268"/>
        <w:tab w:val="right" w:leader="dot" w:pos="9356"/>
      </w:tabs>
      <w:spacing w:before="80" w:after="40"/>
      <w:ind w:left="0" w:right="0" w:firstLine="0"/>
      <w:outlineLvl w:val="9"/>
    </w:pPr>
    <w:rPr>
      <w:rFonts w:ascii="Arial Narrow" w:hAnsi="Arial Narrow" w:cs="Arial Narrow"/>
      <w:bCs/>
      <w:snapToGrid/>
      <w:sz w:val="22"/>
      <w:szCs w:val="22"/>
      <w:lang w:eastAsia="en-AU"/>
    </w:rPr>
  </w:style>
  <w:style w:type="paragraph" w:customStyle="1" w:styleId="Paranonumbers">
    <w:name w:val="Para no numbers"/>
    <w:basedOn w:val="Normal"/>
    <w:link w:val="ParanonumbersChar"/>
    <w:qFormat/>
    <w:rsid w:val="00AB197B"/>
    <w:rPr>
      <w:rFonts w:ascii="Times New Roman" w:eastAsiaTheme="minorEastAsia" w:hAnsi="Times New Roman"/>
      <w:sz w:val="24"/>
    </w:rPr>
  </w:style>
  <w:style w:type="character" w:customStyle="1" w:styleId="ParanonumbersChar">
    <w:name w:val="Para no numbers Char"/>
    <w:link w:val="Paranonumbers"/>
    <w:locked/>
    <w:rsid w:val="00AB197B"/>
    <w:rPr>
      <w:rFonts w:eastAsiaTheme="minorEastAsia"/>
      <w:lang w:eastAsia="en-AU"/>
    </w:rPr>
  </w:style>
  <w:style w:type="paragraph" w:customStyle="1" w:styleId="Body">
    <w:name w:val="Body"/>
    <w:rsid w:val="00AB197B"/>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181 - Summary of Risk Assessment and Risk Management Plan</dc:title>
  <dc:subject/>
  <dc:creator>OGTR.Voicemail@health.gov.au</dc:creator>
  <cp:keywords/>
  <dc:description/>
  <cp:lastModifiedBy>SMITH, Justine</cp:lastModifiedBy>
  <cp:revision>2</cp:revision>
  <dcterms:created xsi:type="dcterms:W3CDTF">2021-07-06T02:10:00Z</dcterms:created>
  <dcterms:modified xsi:type="dcterms:W3CDTF">2021-07-06T02:10:00Z</dcterms:modified>
</cp:coreProperties>
</file>