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53E65" w14:textId="77777777" w:rsidR="00620FD1" w:rsidRPr="0000143A" w:rsidRDefault="00620FD1" w:rsidP="00620FD1">
      <w:pPr>
        <w:pStyle w:val="Heading1"/>
      </w:pPr>
      <w:bookmarkStart w:id="0" w:name="_Toc47536733"/>
      <w:bookmarkStart w:id="1" w:name="_Toc87442319"/>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00143A">
        <w:t>Summary of the Risk Assessment and Risk Management Plan</w:t>
      </w:r>
      <w:bookmarkEnd w:id="0"/>
      <w:bookmarkEnd w:id="1"/>
    </w:p>
    <w:p w14:paraId="74A7A9D4" w14:textId="77777777" w:rsidR="00620FD1" w:rsidRPr="0000143A" w:rsidRDefault="00620FD1" w:rsidP="00620FD1">
      <w:pPr>
        <w:keepNext/>
        <w:jc w:val="center"/>
        <w:rPr>
          <w:rFonts w:cs="Arial"/>
          <w:b/>
          <w:bCs/>
          <w:kern w:val="32"/>
          <w:sz w:val="28"/>
          <w:szCs w:val="28"/>
          <w:lang w:eastAsia="en-US"/>
        </w:rPr>
      </w:pPr>
      <w:r w:rsidRPr="0000143A">
        <w:rPr>
          <w:rFonts w:cs="Arial"/>
          <w:b/>
          <w:bCs/>
          <w:kern w:val="32"/>
          <w:sz w:val="28"/>
          <w:szCs w:val="28"/>
          <w:lang w:eastAsia="en-US"/>
        </w:rPr>
        <w:t>for</w:t>
      </w:r>
    </w:p>
    <w:p w14:paraId="5F2B1948" w14:textId="77777777" w:rsidR="00620FD1" w:rsidRPr="00F736DB" w:rsidRDefault="00620FD1" w:rsidP="00620FD1">
      <w:pPr>
        <w:keepNext/>
        <w:jc w:val="center"/>
        <w:rPr>
          <w:rFonts w:cs="Arial"/>
          <w:b/>
          <w:bCs/>
          <w:kern w:val="32"/>
          <w:sz w:val="36"/>
          <w:szCs w:val="36"/>
          <w:lang w:eastAsia="en-US"/>
        </w:rPr>
      </w:pPr>
      <w:r w:rsidRPr="0000143A">
        <w:rPr>
          <w:rFonts w:cs="Arial"/>
          <w:b/>
          <w:bCs/>
          <w:kern w:val="32"/>
          <w:sz w:val="36"/>
          <w:szCs w:val="36"/>
          <w:lang w:eastAsia="en-US"/>
        </w:rPr>
        <w:t xml:space="preserve">Licence </w:t>
      </w:r>
      <w:r>
        <w:rPr>
          <w:rFonts w:cs="Arial"/>
          <w:b/>
          <w:bCs/>
          <w:kern w:val="32"/>
          <w:sz w:val="36"/>
          <w:szCs w:val="36"/>
          <w:lang w:eastAsia="en-US"/>
        </w:rPr>
        <w:t xml:space="preserve">Application DIR </w:t>
      </w:r>
      <w:r w:rsidRPr="002E7944">
        <w:rPr>
          <w:rFonts w:cs="Arial"/>
          <w:b/>
          <w:bCs/>
          <w:kern w:val="32"/>
          <w:sz w:val="36"/>
          <w:szCs w:val="36"/>
          <w:lang w:eastAsia="en-US"/>
        </w:rPr>
        <w:t>18</w:t>
      </w:r>
      <w:r>
        <w:rPr>
          <w:rFonts w:cs="Arial"/>
          <w:b/>
          <w:bCs/>
          <w:kern w:val="32"/>
          <w:sz w:val="36"/>
          <w:szCs w:val="36"/>
          <w:lang w:eastAsia="en-US"/>
        </w:rPr>
        <w:t>5</w:t>
      </w:r>
    </w:p>
    <w:p w14:paraId="1375D552" w14:textId="77777777" w:rsidR="00620FD1" w:rsidRPr="00F736DB" w:rsidRDefault="00620FD1" w:rsidP="00620FD1">
      <w:pPr>
        <w:pStyle w:val="Heading2"/>
        <w:numPr>
          <w:ilvl w:val="0"/>
          <w:numId w:val="0"/>
        </w:numPr>
        <w:rPr>
          <w:lang w:eastAsia="en-US"/>
        </w:rPr>
      </w:pPr>
      <w:r>
        <w:rPr>
          <w:lang w:eastAsia="en-US"/>
        </w:rPr>
        <w:t>Decision</w:t>
      </w:r>
    </w:p>
    <w:bookmarkEnd w:id="2"/>
    <w:bookmarkEnd w:id="3"/>
    <w:bookmarkEnd w:id="4"/>
    <w:bookmarkEnd w:id="5"/>
    <w:bookmarkEnd w:id="6"/>
    <w:bookmarkEnd w:id="7"/>
    <w:bookmarkEnd w:id="8"/>
    <w:bookmarkEnd w:id="9"/>
    <w:p w14:paraId="2A856F6D" w14:textId="77777777" w:rsidR="00620FD1" w:rsidRDefault="00620FD1" w:rsidP="00620FD1">
      <w:r w:rsidRPr="00A50A71">
        <w:t>The Gene Technology Regulator (the Regulator</w:t>
      </w:r>
      <w:r w:rsidRPr="00F736DB">
        <w:t xml:space="preserve">) has </w:t>
      </w:r>
      <w:r w:rsidRPr="006620D3">
        <w:t xml:space="preserve">received a licence application </w:t>
      </w:r>
      <w:r>
        <w:t xml:space="preserve">to conduct a clinical trial using </w:t>
      </w:r>
      <w:r w:rsidRPr="006620D3">
        <w:t xml:space="preserve">a </w:t>
      </w:r>
      <w:r>
        <w:t xml:space="preserve">live attenuated </w:t>
      </w:r>
      <w:r w:rsidRPr="006620D3">
        <w:t xml:space="preserve">genetically modified (GM) </w:t>
      </w:r>
      <w:r w:rsidRPr="00436A36">
        <w:rPr>
          <w:i/>
        </w:rPr>
        <w:t>Bordetella pertussis</w:t>
      </w:r>
      <w:r>
        <w:t xml:space="preserve"> (BPZE1) as a</w:t>
      </w:r>
      <w:r w:rsidRPr="006620D3">
        <w:t xml:space="preserve"> vaccine</w:t>
      </w:r>
      <w:r>
        <w:t xml:space="preserve"> for whooping cough</w:t>
      </w:r>
      <w:r w:rsidRPr="006620D3">
        <w:t xml:space="preserve">. </w:t>
      </w:r>
      <w:r>
        <w:t xml:space="preserve">It qualifies </w:t>
      </w:r>
      <w:r w:rsidRPr="006620D3">
        <w:t>as Dealings involving the Intentional Release (DIR) of genetically modified organisms into the Australian environment under the</w:t>
      </w:r>
      <w:r w:rsidRPr="006620D3">
        <w:rPr>
          <w:i/>
        </w:rPr>
        <w:t xml:space="preserve"> Gene Technology Act 2000</w:t>
      </w:r>
      <w:r w:rsidRPr="006620D3">
        <w:t xml:space="preserve">. </w:t>
      </w:r>
    </w:p>
    <w:p w14:paraId="5C106AC2" w14:textId="77777777" w:rsidR="00620FD1" w:rsidRDefault="00620FD1" w:rsidP="00620FD1">
      <w:r w:rsidRPr="006620D3">
        <w:t xml:space="preserve">The applicant, </w:t>
      </w:r>
      <w:proofErr w:type="spellStart"/>
      <w:r>
        <w:t>Novotech</w:t>
      </w:r>
      <w:proofErr w:type="spellEnd"/>
      <w:r>
        <w:t xml:space="preserve"> (Australia)</w:t>
      </w:r>
      <w:r w:rsidRPr="006620D3">
        <w:t xml:space="preserve"> Pty Ltd (</w:t>
      </w:r>
      <w:proofErr w:type="spellStart"/>
      <w:r>
        <w:t>Novotech</w:t>
      </w:r>
      <w:proofErr w:type="spellEnd"/>
      <w:r w:rsidRPr="006620D3">
        <w:t xml:space="preserve">) proposes to conduct a clinical trial </w:t>
      </w:r>
      <w:r w:rsidRPr="00436A36">
        <w:t>with BPZE1</w:t>
      </w:r>
      <w:r>
        <w:t xml:space="preserve"> </w:t>
      </w:r>
      <w:r w:rsidRPr="006620D3">
        <w:t xml:space="preserve">to evaluate the </w:t>
      </w:r>
      <w:r>
        <w:t xml:space="preserve">immunological response and </w:t>
      </w:r>
      <w:r w:rsidRPr="006620D3">
        <w:t xml:space="preserve">safety of </w:t>
      </w:r>
      <w:r>
        <w:t>BPZE1</w:t>
      </w:r>
      <w:r w:rsidRPr="006620D3">
        <w:t xml:space="preserve"> as a </w:t>
      </w:r>
      <w:r>
        <w:t>whooping cough v</w:t>
      </w:r>
      <w:r w:rsidRPr="006620D3">
        <w:t xml:space="preserve">accine in </w:t>
      </w:r>
      <w:r>
        <w:t>school age children</w:t>
      </w:r>
      <w:r w:rsidRPr="00CF1FAD">
        <w:t>. This clinical trial involves the intranasal administration of the GM vaccine.</w:t>
      </w:r>
    </w:p>
    <w:p w14:paraId="7CDC7D39" w14:textId="77777777" w:rsidR="00620FD1" w:rsidRPr="006620D3" w:rsidRDefault="00620FD1" w:rsidP="00620FD1">
      <w:r w:rsidRPr="00777C31">
        <w:rPr>
          <w:i/>
        </w:rPr>
        <w:t>B.</w:t>
      </w:r>
      <w:r>
        <w:rPr>
          <w:i/>
        </w:rPr>
        <w:t xml:space="preserve"> p</w:t>
      </w:r>
      <w:r w:rsidRPr="00777C31">
        <w:rPr>
          <w:i/>
        </w:rPr>
        <w:t>ertussis</w:t>
      </w:r>
      <w:r>
        <w:t xml:space="preserve"> causes a respiratory disease that results in persistent coughing commonly known as ‘whooping cough’. It is highly infectious in unvaccinated people. In Australia, pertussis epidemics usually occur every 3-4 years despite a longstanding pertussis immunisation program. </w:t>
      </w:r>
      <w:r w:rsidRPr="00941F7E">
        <w:rPr>
          <w:rStyle w:val="CommentReference"/>
          <w:rFonts w:asciiTheme="minorHAnsi" w:hAnsiTheme="minorHAnsi" w:cstheme="minorHAnsi"/>
          <w:szCs w:val="22"/>
        </w:rPr>
        <w:t xml:space="preserve">The vaccine </w:t>
      </w:r>
      <w:r w:rsidRPr="007F0B88">
        <w:rPr>
          <w:rFonts w:cs="Calibri"/>
        </w:rPr>
        <w:t>will be manufactured overseas</w:t>
      </w:r>
      <w:r>
        <w:rPr>
          <w:rFonts w:cs="Calibri"/>
        </w:rPr>
        <w:t xml:space="preserve"> and imported to a </w:t>
      </w:r>
      <w:r w:rsidRPr="005B6313">
        <w:rPr>
          <w:rFonts w:cs="Calibri"/>
        </w:rPr>
        <w:t>secure third-party storage site prior to transport to clinical trial sites</w:t>
      </w:r>
      <w:r w:rsidRPr="005B6313" w:rsidDel="005B6313">
        <w:rPr>
          <w:rFonts w:cs="Calibri"/>
        </w:rPr>
        <w:t xml:space="preserve"> </w:t>
      </w:r>
      <w:r>
        <w:rPr>
          <w:rFonts w:cs="Calibri"/>
        </w:rPr>
        <w:t>in Australia</w:t>
      </w:r>
      <w:r w:rsidRPr="007F0B88">
        <w:rPr>
          <w:rFonts w:cs="Calibri"/>
        </w:rPr>
        <w:t>.</w:t>
      </w:r>
      <w:r w:rsidRPr="00FC39F3">
        <w:t xml:space="preserve"> </w:t>
      </w:r>
      <w:r w:rsidRPr="00527208">
        <w:t>The applicant proposes to administer the</w:t>
      </w:r>
      <w:r>
        <w:t xml:space="preserve"> GM vaccine </w:t>
      </w:r>
      <w:r w:rsidRPr="00527208">
        <w:t>to</w:t>
      </w:r>
      <w:r>
        <w:t xml:space="preserve"> a limited number of healthy participants.</w:t>
      </w:r>
    </w:p>
    <w:p w14:paraId="31BCF15D" w14:textId="77777777" w:rsidR="00620FD1" w:rsidRPr="00414B51" w:rsidRDefault="00620FD1" w:rsidP="00620FD1">
      <w:r w:rsidRPr="00414B51">
        <w:t xml:space="preserve">Clinical trials in Australia are conducted in accordance with requirements of the </w:t>
      </w:r>
      <w:r w:rsidRPr="00414B51">
        <w:rPr>
          <w:i/>
        </w:rPr>
        <w:t>Therapeutic Goods Act 1989</w:t>
      </w:r>
      <w:r w:rsidRPr="00414B51">
        <w:t xml:space="preserve">, which is administered by the Therapeutic Goods Administration (TGA). Therefore, in addition to approval by the Regulator, </w:t>
      </w:r>
      <w:proofErr w:type="spellStart"/>
      <w:r>
        <w:t>Novotech</w:t>
      </w:r>
      <w:proofErr w:type="spellEnd"/>
      <w:r w:rsidRPr="00414B51">
        <w:t xml:space="preserve"> </w:t>
      </w:r>
      <w:r>
        <w:t>will</w:t>
      </w:r>
      <w:r w:rsidRPr="00414B51">
        <w:t xml:space="preserve"> require authorisation from TGA before the trial commences. Clinical trials conducted in Australia must also be conducted in accordance with the </w:t>
      </w:r>
      <w:hyperlink r:id="rId7" w:history="1">
        <w:r w:rsidRPr="00414B51">
          <w:rPr>
            <w:rStyle w:val="Hyperlink"/>
          </w:rPr>
          <w:t>National Statement on Ethical Conduct in Human Research</w:t>
        </w:r>
      </w:hyperlink>
      <w:r w:rsidRPr="00414B51">
        <w:rPr>
          <w:i/>
        </w:rPr>
        <w:t xml:space="preserve"> </w:t>
      </w:r>
      <w:r w:rsidRPr="00414B51">
        <w:t xml:space="preserve">and with the </w:t>
      </w:r>
      <w:hyperlink r:id="rId8" w:history="1">
        <w:r w:rsidRPr="00414B51">
          <w:rPr>
            <w:rStyle w:val="Hyperlink"/>
          </w:rPr>
          <w:t>Guidelines for Good Clinical Practice</w:t>
        </w:r>
      </w:hyperlink>
      <w:r w:rsidRPr="00414B51">
        <w:t xml:space="preserve"> of the International Council for Harmonisation of Technical Requirements for Registration of Pharmaceuticals for Human Use.</w:t>
      </w:r>
    </w:p>
    <w:p w14:paraId="388447CA" w14:textId="77777777" w:rsidR="00620FD1" w:rsidRPr="00414B51" w:rsidRDefault="00620FD1" w:rsidP="00620FD1">
      <w:proofErr w:type="spellStart"/>
      <w:r>
        <w:t>Novotech</w:t>
      </w:r>
      <w:proofErr w:type="spellEnd"/>
      <w:r w:rsidRPr="00414B51">
        <w:t xml:space="preserve"> </w:t>
      </w:r>
      <w:r>
        <w:t>will</w:t>
      </w:r>
      <w:r w:rsidRPr="00414B51">
        <w:t xml:space="preserve"> also require approval from the Department of Agriculture, </w:t>
      </w:r>
      <w:proofErr w:type="gramStart"/>
      <w:r w:rsidRPr="00414B51">
        <w:t>Water</w:t>
      </w:r>
      <w:proofErr w:type="gramEnd"/>
      <w:r w:rsidRPr="00414B51">
        <w:t xml:space="preserve"> and the Environment for import of the GMO.</w:t>
      </w:r>
    </w:p>
    <w:p w14:paraId="45C2E367" w14:textId="77777777" w:rsidR="00620FD1" w:rsidRPr="006A4C01" w:rsidRDefault="00620FD1" w:rsidP="00620FD1">
      <w:r w:rsidRPr="0000143A">
        <w:t xml:space="preserve">The Regulator has prepared a Risk Assessment and Risk Management Plan (RARMP) for this application, which concludes that the proposed </w:t>
      </w:r>
      <w:r>
        <w:t xml:space="preserve">clinical trial of </w:t>
      </w:r>
      <w:r w:rsidRPr="006A4C01">
        <w:t>the GM vaccine poses negligible risks to human health and safety and the environment</w:t>
      </w:r>
      <w:r>
        <w:t>, and that any risks posed by the dealings can be maintained by imposing conditions on the clinical trial</w:t>
      </w:r>
      <w:r w:rsidRPr="006A4C01">
        <w:t>.</w:t>
      </w:r>
      <w:bookmarkStart w:id="10" w:name="_Toc342042135"/>
      <w:bookmarkStart w:id="11" w:name="_Toc47536735"/>
      <w:bookmarkStart w:id="12" w:name="_Toc291151777"/>
      <w:bookmarkStart w:id="13" w:name="_Toc274904727"/>
      <w:bookmarkStart w:id="14" w:name="_Toc209859548"/>
    </w:p>
    <w:p w14:paraId="609ACA25" w14:textId="77777777" w:rsidR="00620FD1" w:rsidRPr="00DB5481" w:rsidRDefault="00620FD1" w:rsidP="00620FD1">
      <w:pPr>
        <w:pStyle w:val="Heading2"/>
        <w:numPr>
          <w:ilvl w:val="0"/>
          <w:numId w:val="0"/>
        </w:numPr>
      </w:pPr>
      <w:bookmarkStart w:id="15" w:name="_Toc87442321"/>
      <w:r w:rsidRPr="0000143A">
        <w:t>The application</w:t>
      </w:r>
      <w:bookmarkEnd w:id="10"/>
      <w:bookmarkEnd w:id="11"/>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263"/>
        <w:gridCol w:w="7343"/>
      </w:tblGrid>
      <w:tr w:rsidR="00620FD1" w:rsidRPr="0000143A" w14:paraId="6125E7A7"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2D49E494" w14:textId="77777777" w:rsidR="00620FD1" w:rsidRPr="007A29DB" w:rsidRDefault="00620FD1" w:rsidP="00B92204">
            <w:pPr>
              <w:spacing w:before="60" w:after="60"/>
              <w:rPr>
                <w:b/>
              </w:rPr>
            </w:pPr>
            <w:r w:rsidRPr="007A29DB">
              <w:rPr>
                <w:b/>
              </w:rPr>
              <w:t>Application number</w:t>
            </w:r>
          </w:p>
        </w:tc>
        <w:tc>
          <w:tcPr>
            <w:tcW w:w="7343" w:type="dxa"/>
            <w:tcBorders>
              <w:top w:val="single" w:sz="4" w:space="0" w:color="auto"/>
              <w:left w:val="single" w:sz="4" w:space="0" w:color="auto"/>
              <w:bottom w:val="single" w:sz="4" w:space="0" w:color="auto"/>
              <w:right w:val="single" w:sz="4" w:space="0" w:color="auto"/>
            </w:tcBorders>
          </w:tcPr>
          <w:p w14:paraId="06D2D444" w14:textId="77777777" w:rsidR="00620FD1" w:rsidRPr="00D679D8" w:rsidRDefault="00620FD1" w:rsidP="00B92204">
            <w:pPr>
              <w:spacing w:before="60" w:after="60"/>
            </w:pPr>
            <w:r>
              <w:t>DIR-185</w:t>
            </w:r>
          </w:p>
        </w:tc>
      </w:tr>
      <w:tr w:rsidR="00620FD1" w:rsidRPr="0000143A" w14:paraId="48228314"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0634DF4B" w14:textId="77777777" w:rsidR="00620FD1" w:rsidRPr="007A29DB" w:rsidRDefault="00620FD1" w:rsidP="00B92204">
            <w:pPr>
              <w:spacing w:before="60" w:after="60"/>
              <w:rPr>
                <w:b/>
              </w:rPr>
            </w:pPr>
            <w:r w:rsidRPr="007A29DB">
              <w:rPr>
                <w:b/>
              </w:rPr>
              <w:t>Applicant</w:t>
            </w:r>
          </w:p>
        </w:tc>
        <w:tc>
          <w:tcPr>
            <w:tcW w:w="7343" w:type="dxa"/>
            <w:tcBorders>
              <w:top w:val="single" w:sz="4" w:space="0" w:color="auto"/>
              <w:left w:val="single" w:sz="4" w:space="0" w:color="auto"/>
              <w:bottom w:val="single" w:sz="4" w:space="0" w:color="auto"/>
              <w:right w:val="single" w:sz="4" w:space="0" w:color="auto"/>
            </w:tcBorders>
          </w:tcPr>
          <w:p w14:paraId="3566E9C2" w14:textId="77777777" w:rsidR="00620FD1" w:rsidRPr="00D679D8" w:rsidRDefault="00620FD1" w:rsidP="00B92204">
            <w:pPr>
              <w:spacing w:before="60" w:after="60"/>
            </w:pPr>
            <w:proofErr w:type="spellStart"/>
            <w:r>
              <w:t>Novotech</w:t>
            </w:r>
            <w:proofErr w:type="spellEnd"/>
            <w:r>
              <w:t xml:space="preserve"> (Australia) Pty Ltd</w:t>
            </w:r>
          </w:p>
        </w:tc>
      </w:tr>
      <w:tr w:rsidR="00620FD1" w:rsidRPr="0000143A" w14:paraId="5F80D3BB"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6F0B7AAB" w14:textId="77777777" w:rsidR="00620FD1" w:rsidRPr="007A29DB" w:rsidRDefault="00620FD1" w:rsidP="00B92204">
            <w:pPr>
              <w:spacing w:before="60" w:after="60"/>
              <w:rPr>
                <w:b/>
              </w:rPr>
            </w:pPr>
            <w:r w:rsidRPr="007A29DB">
              <w:rPr>
                <w:b/>
              </w:rPr>
              <w:lastRenderedPageBreak/>
              <w:t>Project title</w:t>
            </w:r>
          </w:p>
        </w:tc>
        <w:tc>
          <w:tcPr>
            <w:tcW w:w="7343" w:type="dxa"/>
            <w:tcBorders>
              <w:top w:val="single" w:sz="4" w:space="0" w:color="auto"/>
              <w:left w:val="single" w:sz="4" w:space="0" w:color="auto"/>
              <w:bottom w:val="single" w:sz="4" w:space="0" w:color="auto"/>
              <w:right w:val="single" w:sz="4" w:space="0" w:color="auto"/>
            </w:tcBorders>
          </w:tcPr>
          <w:p w14:paraId="266DDB3F" w14:textId="77777777" w:rsidR="00620FD1" w:rsidRPr="00D679D8" w:rsidRDefault="00620FD1" w:rsidP="00B92204">
            <w:pPr>
              <w:spacing w:before="60" w:after="60"/>
            </w:pPr>
            <w:r w:rsidRPr="00A35744">
              <w:t xml:space="preserve">Clinical trial with genetically modified </w:t>
            </w:r>
            <w:r w:rsidRPr="00B70CE2">
              <w:rPr>
                <w:i/>
              </w:rPr>
              <w:t>Bordetella pertussis</w:t>
            </w:r>
            <w:r>
              <w:t xml:space="preserve"> for the prevention</w:t>
            </w:r>
            <w:r w:rsidRPr="00A35744">
              <w:t xml:space="preserve"> of </w:t>
            </w:r>
            <w:r>
              <w:t>whooping cough</w:t>
            </w:r>
            <w:r w:rsidRPr="00A35744">
              <w:rPr>
                <w:vertAlign w:val="superscript"/>
              </w:rPr>
              <w:footnoteReference w:id="1"/>
            </w:r>
          </w:p>
        </w:tc>
      </w:tr>
      <w:tr w:rsidR="00620FD1" w:rsidRPr="0000143A" w14:paraId="023FBC17"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6C479096" w14:textId="77777777" w:rsidR="00620FD1" w:rsidRPr="007A29DB" w:rsidRDefault="00620FD1" w:rsidP="00B92204">
            <w:pPr>
              <w:spacing w:before="60" w:after="60"/>
              <w:rPr>
                <w:b/>
              </w:rPr>
            </w:pPr>
            <w:r w:rsidRPr="007A29DB">
              <w:rPr>
                <w:b/>
              </w:rPr>
              <w:t>Parent organism</w:t>
            </w:r>
          </w:p>
        </w:tc>
        <w:tc>
          <w:tcPr>
            <w:tcW w:w="7343" w:type="dxa"/>
            <w:tcBorders>
              <w:top w:val="single" w:sz="4" w:space="0" w:color="auto"/>
              <w:left w:val="single" w:sz="4" w:space="0" w:color="auto"/>
              <w:bottom w:val="single" w:sz="4" w:space="0" w:color="auto"/>
              <w:right w:val="single" w:sz="4" w:space="0" w:color="auto"/>
            </w:tcBorders>
          </w:tcPr>
          <w:p w14:paraId="1082BAAA" w14:textId="77777777" w:rsidR="00620FD1" w:rsidRPr="00D679D8" w:rsidRDefault="00620FD1" w:rsidP="00B92204">
            <w:pPr>
              <w:spacing w:before="60" w:after="60"/>
            </w:pPr>
            <w:r w:rsidRPr="00CC33FD">
              <w:rPr>
                <w:i/>
              </w:rPr>
              <w:t>Bordetella pertussis</w:t>
            </w:r>
            <w:r>
              <w:t xml:space="preserve"> (</w:t>
            </w:r>
            <w:proofErr w:type="spellStart"/>
            <w:r>
              <w:t>Tohama</w:t>
            </w:r>
            <w:proofErr w:type="spellEnd"/>
            <w:r>
              <w:t xml:space="preserve"> I strain)</w:t>
            </w:r>
          </w:p>
        </w:tc>
      </w:tr>
      <w:tr w:rsidR="00620FD1" w:rsidRPr="0000143A" w14:paraId="0AFC86C3"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621F77E6" w14:textId="77777777" w:rsidR="00620FD1" w:rsidRPr="007A29DB" w:rsidRDefault="00620FD1" w:rsidP="00B92204">
            <w:pPr>
              <w:spacing w:before="60" w:after="60"/>
              <w:rPr>
                <w:b/>
              </w:rPr>
            </w:pPr>
            <w:r w:rsidRPr="007A29DB">
              <w:rPr>
                <w:b/>
              </w:rPr>
              <w:t>Introduced gene and modified trait</w:t>
            </w:r>
          </w:p>
        </w:tc>
        <w:tc>
          <w:tcPr>
            <w:tcW w:w="7343" w:type="dxa"/>
            <w:tcBorders>
              <w:top w:val="single" w:sz="4" w:space="0" w:color="auto"/>
              <w:left w:val="single" w:sz="4" w:space="0" w:color="auto"/>
              <w:bottom w:val="single" w:sz="4" w:space="0" w:color="auto"/>
              <w:right w:val="single" w:sz="4" w:space="0" w:color="auto"/>
            </w:tcBorders>
          </w:tcPr>
          <w:p w14:paraId="6C479F93" w14:textId="77777777" w:rsidR="00620FD1" w:rsidRPr="00B70CE2" w:rsidRDefault="00620FD1" w:rsidP="00B92204">
            <w:pPr>
              <w:pStyle w:val="RIGHTLIST"/>
              <w:autoSpaceDE w:val="0"/>
              <w:autoSpaceDN w:val="0"/>
              <w:spacing w:before="0"/>
              <w:jc w:val="both"/>
              <w:rPr>
                <w:rFonts w:asciiTheme="minorHAnsi" w:hAnsiTheme="minorHAnsi" w:cstheme="minorHAnsi"/>
                <w:i/>
                <w:iCs/>
              </w:rPr>
            </w:pPr>
            <w:r w:rsidRPr="00B70CE2">
              <w:rPr>
                <w:rFonts w:asciiTheme="minorHAnsi" w:hAnsiTheme="minorHAnsi" w:cstheme="minorHAnsi"/>
                <w:i/>
                <w:iCs/>
              </w:rPr>
              <w:t>B. pertussis</w:t>
            </w:r>
            <w:r w:rsidRPr="00B70CE2">
              <w:rPr>
                <w:rFonts w:asciiTheme="minorHAnsi" w:hAnsiTheme="minorHAnsi" w:cstheme="minorHAnsi"/>
                <w:iCs/>
              </w:rPr>
              <w:t xml:space="preserve"> toxins have been modified or deleted</w:t>
            </w:r>
            <w:r>
              <w:rPr>
                <w:rFonts w:asciiTheme="minorHAnsi" w:hAnsiTheme="minorHAnsi" w:cstheme="minorHAnsi"/>
                <w:iCs/>
              </w:rPr>
              <w:t xml:space="preserve"> as below</w:t>
            </w:r>
            <w:r w:rsidRPr="00B70CE2">
              <w:rPr>
                <w:rFonts w:asciiTheme="minorHAnsi" w:hAnsiTheme="minorHAnsi" w:cstheme="minorHAnsi"/>
                <w:iCs/>
              </w:rPr>
              <w:t xml:space="preserve">: </w:t>
            </w:r>
          </w:p>
          <w:p w14:paraId="12C1C643" w14:textId="77777777" w:rsidR="00620FD1" w:rsidRPr="00B70CE2" w:rsidRDefault="00620FD1" w:rsidP="00620FD1">
            <w:pPr>
              <w:pStyle w:val="RIGHTLIST"/>
              <w:numPr>
                <w:ilvl w:val="0"/>
                <w:numId w:val="8"/>
              </w:numPr>
              <w:spacing w:before="0"/>
              <w:rPr>
                <w:rFonts w:asciiTheme="minorHAnsi" w:hAnsiTheme="minorHAnsi" w:cstheme="minorHAnsi"/>
                <w:iCs/>
              </w:rPr>
            </w:pPr>
            <w:r w:rsidRPr="00B70CE2">
              <w:rPr>
                <w:rFonts w:asciiTheme="minorHAnsi" w:hAnsiTheme="minorHAnsi" w:cstheme="minorHAnsi"/>
                <w:iCs/>
              </w:rPr>
              <w:t xml:space="preserve">Modification of pertussis toxin; </w:t>
            </w:r>
            <w:r w:rsidRPr="00B70CE2">
              <w:rPr>
                <w:rFonts w:asciiTheme="minorHAnsi" w:hAnsiTheme="minorHAnsi" w:cstheme="minorHAnsi"/>
                <w:i/>
                <w:iCs/>
              </w:rPr>
              <w:t xml:space="preserve">PTX </w:t>
            </w:r>
            <w:r w:rsidRPr="00B70CE2">
              <w:rPr>
                <w:rFonts w:asciiTheme="minorHAnsi" w:hAnsiTheme="minorHAnsi" w:cstheme="minorHAnsi"/>
                <w:iCs/>
              </w:rPr>
              <w:t xml:space="preserve">gene </w:t>
            </w:r>
            <w:r>
              <w:rPr>
                <w:rFonts w:asciiTheme="minorHAnsi" w:hAnsiTheme="minorHAnsi" w:cstheme="minorHAnsi"/>
                <w:iCs/>
              </w:rPr>
              <w:t>–</w:t>
            </w:r>
            <w:r w:rsidRPr="00B70CE2">
              <w:rPr>
                <w:rFonts w:asciiTheme="minorHAnsi" w:hAnsiTheme="minorHAnsi" w:cstheme="minorHAnsi"/>
                <w:iCs/>
              </w:rPr>
              <w:t xml:space="preserve"> </w:t>
            </w:r>
            <w:r>
              <w:rPr>
                <w:rFonts w:asciiTheme="minorHAnsi" w:hAnsiTheme="minorHAnsi" w:cstheme="minorHAnsi"/>
                <w:iCs/>
              </w:rPr>
              <w:t>removal of toxicity</w:t>
            </w:r>
          </w:p>
          <w:p w14:paraId="2EDFB58F" w14:textId="77777777" w:rsidR="00620FD1" w:rsidRDefault="00620FD1" w:rsidP="00620FD1">
            <w:pPr>
              <w:pStyle w:val="RIGHTLIST"/>
              <w:numPr>
                <w:ilvl w:val="0"/>
                <w:numId w:val="8"/>
              </w:numPr>
              <w:spacing w:before="0"/>
              <w:rPr>
                <w:rFonts w:asciiTheme="minorHAnsi" w:hAnsiTheme="minorHAnsi" w:cstheme="minorHAnsi"/>
                <w:iCs/>
              </w:rPr>
            </w:pPr>
            <w:r w:rsidRPr="00B70CE2">
              <w:rPr>
                <w:rFonts w:asciiTheme="minorHAnsi" w:hAnsiTheme="minorHAnsi" w:cstheme="minorHAnsi"/>
                <w:iCs/>
              </w:rPr>
              <w:t xml:space="preserve">Replacement of </w:t>
            </w:r>
            <w:proofErr w:type="spellStart"/>
            <w:r w:rsidRPr="00B70CE2">
              <w:rPr>
                <w:rFonts w:asciiTheme="minorHAnsi" w:hAnsiTheme="minorHAnsi" w:cstheme="minorHAnsi"/>
                <w:i/>
                <w:iCs/>
              </w:rPr>
              <w:t>ampG</w:t>
            </w:r>
            <w:proofErr w:type="spellEnd"/>
            <w:r w:rsidRPr="00B70CE2">
              <w:rPr>
                <w:rFonts w:asciiTheme="minorHAnsi" w:hAnsiTheme="minorHAnsi" w:cstheme="minorHAnsi"/>
                <w:iCs/>
              </w:rPr>
              <w:t xml:space="preserve"> gene -</w:t>
            </w:r>
            <w:r>
              <w:rPr>
                <w:rFonts w:asciiTheme="minorHAnsi" w:hAnsiTheme="minorHAnsi" w:cstheme="minorHAnsi"/>
                <w:iCs/>
              </w:rPr>
              <w:t xml:space="preserve"> 100-fold</w:t>
            </w:r>
            <w:r w:rsidRPr="00B70CE2">
              <w:rPr>
                <w:rFonts w:asciiTheme="minorHAnsi" w:hAnsiTheme="minorHAnsi" w:cstheme="minorHAnsi"/>
                <w:iCs/>
              </w:rPr>
              <w:t xml:space="preserve"> reduc</w:t>
            </w:r>
            <w:r>
              <w:rPr>
                <w:rFonts w:asciiTheme="minorHAnsi" w:hAnsiTheme="minorHAnsi" w:cstheme="minorHAnsi"/>
                <w:iCs/>
              </w:rPr>
              <w:t>tion of</w:t>
            </w:r>
            <w:r w:rsidRPr="00B70CE2">
              <w:rPr>
                <w:rFonts w:asciiTheme="minorHAnsi" w:hAnsiTheme="minorHAnsi" w:cstheme="minorHAnsi"/>
                <w:iCs/>
              </w:rPr>
              <w:t xml:space="preserve"> tracheal cytotoxin (TCT)</w:t>
            </w:r>
            <w:r>
              <w:rPr>
                <w:rFonts w:asciiTheme="minorHAnsi" w:hAnsiTheme="minorHAnsi" w:cstheme="minorHAnsi"/>
                <w:iCs/>
              </w:rPr>
              <w:t xml:space="preserve"> production</w:t>
            </w:r>
          </w:p>
          <w:p w14:paraId="5744F1C9" w14:textId="77777777" w:rsidR="00620FD1" w:rsidRPr="00B70CE2" w:rsidRDefault="00620FD1" w:rsidP="00620FD1">
            <w:pPr>
              <w:pStyle w:val="RIGHTLIST"/>
              <w:numPr>
                <w:ilvl w:val="0"/>
                <w:numId w:val="8"/>
              </w:numPr>
              <w:spacing w:before="0"/>
              <w:rPr>
                <w:rFonts w:asciiTheme="minorHAnsi" w:hAnsiTheme="minorHAnsi" w:cstheme="minorHAnsi"/>
                <w:iCs/>
              </w:rPr>
            </w:pPr>
            <w:r w:rsidRPr="00B70CE2">
              <w:rPr>
                <w:rFonts w:asciiTheme="minorHAnsi" w:hAnsiTheme="minorHAnsi" w:cstheme="minorHAnsi"/>
                <w:iCs/>
              </w:rPr>
              <w:t xml:space="preserve">Deletion of dermonecrotic toxin; </w:t>
            </w:r>
            <w:r w:rsidRPr="00B70CE2">
              <w:rPr>
                <w:rFonts w:asciiTheme="minorHAnsi" w:hAnsiTheme="minorHAnsi" w:cstheme="minorHAnsi"/>
                <w:i/>
                <w:iCs/>
              </w:rPr>
              <w:t xml:space="preserve">DNT </w:t>
            </w:r>
            <w:r w:rsidRPr="00B70CE2">
              <w:rPr>
                <w:rFonts w:asciiTheme="minorHAnsi" w:hAnsiTheme="minorHAnsi" w:cstheme="minorHAnsi"/>
                <w:iCs/>
              </w:rPr>
              <w:t>gene - no production of DNT</w:t>
            </w:r>
          </w:p>
        </w:tc>
      </w:tr>
      <w:tr w:rsidR="00620FD1" w:rsidRPr="0000143A" w14:paraId="21977B55" w14:textId="77777777" w:rsidTr="00B92204">
        <w:tc>
          <w:tcPr>
            <w:tcW w:w="2263" w:type="dxa"/>
            <w:tcBorders>
              <w:top w:val="single" w:sz="4" w:space="0" w:color="auto"/>
              <w:left w:val="single" w:sz="4" w:space="0" w:color="auto"/>
              <w:bottom w:val="single" w:sz="4" w:space="0" w:color="auto"/>
              <w:right w:val="single" w:sz="4" w:space="0" w:color="auto"/>
            </w:tcBorders>
          </w:tcPr>
          <w:p w14:paraId="14CA990B" w14:textId="77777777" w:rsidR="00620FD1" w:rsidRPr="008F40B9" w:rsidRDefault="00620FD1" w:rsidP="00B92204">
            <w:pPr>
              <w:spacing w:before="60" w:after="60"/>
              <w:rPr>
                <w:b/>
                <w:szCs w:val="22"/>
              </w:rPr>
            </w:pPr>
            <w:r w:rsidRPr="008F40B9">
              <w:rPr>
                <w:b/>
                <w:szCs w:val="22"/>
              </w:rPr>
              <w:t>Principle purpose</w:t>
            </w:r>
          </w:p>
        </w:tc>
        <w:tc>
          <w:tcPr>
            <w:tcW w:w="7343" w:type="dxa"/>
            <w:tcBorders>
              <w:top w:val="single" w:sz="4" w:space="0" w:color="auto"/>
              <w:left w:val="single" w:sz="4" w:space="0" w:color="auto"/>
              <w:bottom w:val="single" w:sz="4" w:space="0" w:color="auto"/>
              <w:right w:val="single" w:sz="4" w:space="0" w:color="auto"/>
            </w:tcBorders>
          </w:tcPr>
          <w:p w14:paraId="3B5E094C" w14:textId="77777777" w:rsidR="00620FD1" w:rsidRPr="008F40B9" w:rsidRDefault="00620FD1" w:rsidP="00B92204">
            <w:pPr>
              <w:pStyle w:val="Para"/>
              <w:widowControl w:val="0"/>
              <w:numPr>
                <w:ilvl w:val="0"/>
                <w:numId w:val="0"/>
              </w:numPr>
              <w:tabs>
                <w:tab w:val="clear" w:pos="567"/>
              </w:tabs>
              <w:spacing w:before="60" w:after="100"/>
              <w:rPr>
                <w:rFonts w:ascii="Calibri" w:hAnsi="Calibri" w:cs="Calibri"/>
                <w:sz w:val="22"/>
                <w:szCs w:val="22"/>
              </w:rPr>
            </w:pPr>
            <w:r w:rsidRPr="008F40B9">
              <w:rPr>
                <w:rFonts w:ascii="Calibri" w:hAnsi="Calibri" w:cs="Calibri"/>
                <w:sz w:val="22"/>
                <w:szCs w:val="22"/>
              </w:rPr>
              <w:t xml:space="preserve">The proposed trial is a Phase 2b study designed to assess the immunological response and safety profile of the single dose of BPZE1 with and without the standard tetanus, </w:t>
            </w:r>
            <w:proofErr w:type="gramStart"/>
            <w:r w:rsidRPr="008F40B9">
              <w:rPr>
                <w:rFonts w:ascii="Calibri" w:hAnsi="Calibri" w:cs="Calibri"/>
                <w:sz w:val="22"/>
                <w:szCs w:val="22"/>
              </w:rPr>
              <w:t>diphtheria</w:t>
            </w:r>
            <w:proofErr w:type="gramEnd"/>
            <w:r w:rsidRPr="008F40B9">
              <w:rPr>
                <w:rFonts w:ascii="Calibri" w:hAnsi="Calibri" w:cs="Calibri"/>
                <w:sz w:val="22"/>
                <w:szCs w:val="22"/>
              </w:rPr>
              <w:t xml:space="preserve"> and pertussis vaccine in healthy school age children.   </w:t>
            </w:r>
          </w:p>
        </w:tc>
      </w:tr>
      <w:tr w:rsidR="00620FD1" w:rsidRPr="0000143A" w14:paraId="264E3226" w14:textId="77777777" w:rsidTr="00B92204">
        <w:tc>
          <w:tcPr>
            <w:tcW w:w="2263" w:type="dxa"/>
            <w:tcBorders>
              <w:top w:val="single" w:sz="4" w:space="0" w:color="auto"/>
              <w:left w:val="single" w:sz="4" w:space="0" w:color="auto"/>
              <w:bottom w:val="single" w:sz="4" w:space="0" w:color="auto"/>
              <w:right w:val="single" w:sz="4" w:space="0" w:color="auto"/>
            </w:tcBorders>
          </w:tcPr>
          <w:p w14:paraId="4B6333BC" w14:textId="77777777" w:rsidR="00620FD1" w:rsidRPr="008F40B9" w:rsidRDefault="00620FD1" w:rsidP="00B92204">
            <w:pPr>
              <w:spacing w:before="60" w:after="60"/>
              <w:rPr>
                <w:szCs w:val="22"/>
              </w:rPr>
            </w:pPr>
            <w:r w:rsidRPr="008F40B9">
              <w:rPr>
                <w:b/>
                <w:szCs w:val="22"/>
              </w:rPr>
              <w:t>Previous clinical trials</w:t>
            </w:r>
          </w:p>
        </w:tc>
        <w:tc>
          <w:tcPr>
            <w:tcW w:w="7343" w:type="dxa"/>
            <w:tcBorders>
              <w:top w:val="single" w:sz="4" w:space="0" w:color="auto"/>
              <w:left w:val="single" w:sz="4" w:space="0" w:color="auto"/>
              <w:bottom w:val="single" w:sz="4" w:space="0" w:color="auto"/>
              <w:right w:val="single" w:sz="4" w:space="0" w:color="auto"/>
            </w:tcBorders>
          </w:tcPr>
          <w:p w14:paraId="37C4948E" w14:textId="77777777" w:rsidR="00620FD1" w:rsidRPr="008F40B9" w:rsidRDefault="00620FD1" w:rsidP="00B92204">
            <w:pPr>
              <w:pStyle w:val="RIGHTLIST"/>
              <w:widowControl w:val="0"/>
              <w:spacing w:before="60" w:after="60"/>
              <w:rPr>
                <w:rFonts w:ascii="Calibri" w:hAnsi="Calibri" w:cs="Calibri"/>
              </w:rPr>
            </w:pPr>
            <w:r w:rsidRPr="008F40B9">
              <w:rPr>
                <w:rFonts w:ascii="Calibri" w:hAnsi="Calibri" w:cs="Calibri"/>
              </w:rPr>
              <w:t>Several clinical trials have been completed in healthy adult</w:t>
            </w:r>
            <w:r>
              <w:rPr>
                <w:rFonts w:ascii="Calibri" w:hAnsi="Calibri" w:cs="Calibri"/>
              </w:rPr>
              <w:t>s</w:t>
            </w:r>
            <w:r w:rsidRPr="008F40B9">
              <w:rPr>
                <w:rFonts w:ascii="Calibri" w:hAnsi="Calibri" w:cs="Calibri"/>
              </w:rPr>
              <w:t>. Details of the trials are summarised below:</w:t>
            </w:r>
          </w:p>
          <w:p w14:paraId="0B83DC96" w14:textId="77777777" w:rsidR="00620FD1" w:rsidRPr="008F40B9" w:rsidRDefault="00620FD1" w:rsidP="00B92204">
            <w:pPr>
              <w:pStyle w:val="RIGHTLIST"/>
              <w:widowControl w:val="0"/>
              <w:spacing w:before="60" w:after="60"/>
              <w:rPr>
                <w:rFonts w:ascii="Calibri" w:hAnsi="Calibri" w:cs="Calibri"/>
              </w:rPr>
            </w:pPr>
            <w:r w:rsidRPr="008F40B9">
              <w:rPr>
                <w:rFonts w:ascii="Calibri" w:hAnsi="Calibri" w:cs="Calibri"/>
              </w:rPr>
              <w:t>Phase 1: Safety and immunogenicity; January 2012 (NCT0118512)</w:t>
            </w:r>
          </w:p>
          <w:p w14:paraId="5CB22787" w14:textId="77777777" w:rsidR="00620FD1" w:rsidRPr="008F40B9" w:rsidRDefault="00620FD1" w:rsidP="00B92204">
            <w:pPr>
              <w:pStyle w:val="RIGHTLIST"/>
              <w:widowControl w:val="0"/>
              <w:spacing w:before="60" w:after="60"/>
              <w:rPr>
                <w:rFonts w:ascii="Calibri" w:hAnsi="Calibri" w:cs="Calibri"/>
              </w:rPr>
            </w:pPr>
            <w:r w:rsidRPr="008F40B9">
              <w:rPr>
                <w:rFonts w:ascii="Calibri" w:hAnsi="Calibri" w:cs="Calibri"/>
              </w:rPr>
              <w:t>Phase 1b: Testing higher dose; December 2017 (NCT02453048)</w:t>
            </w:r>
          </w:p>
          <w:p w14:paraId="39A3595C" w14:textId="77777777" w:rsidR="00620FD1" w:rsidRPr="008F40B9" w:rsidRDefault="00620FD1" w:rsidP="00B92204">
            <w:pPr>
              <w:pStyle w:val="RIGHTLIST"/>
              <w:widowControl w:val="0"/>
              <w:spacing w:before="60" w:after="60"/>
              <w:rPr>
                <w:rFonts w:ascii="Calibri" w:hAnsi="Calibri" w:cs="Calibri"/>
              </w:rPr>
            </w:pPr>
            <w:r w:rsidRPr="008F40B9">
              <w:rPr>
                <w:rFonts w:ascii="Calibri" w:hAnsi="Calibri" w:cs="Calibri"/>
              </w:rPr>
              <w:t>Phase 2a: Dose response; May 2020 (NCT03541499)</w:t>
            </w:r>
          </w:p>
          <w:p w14:paraId="4AA7E6CD" w14:textId="77777777" w:rsidR="00620FD1" w:rsidRPr="008F40B9" w:rsidRDefault="00620FD1" w:rsidP="00B92204">
            <w:pPr>
              <w:pStyle w:val="Para"/>
              <w:widowControl w:val="0"/>
              <w:numPr>
                <w:ilvl w:val="0"/>
                <w:numId w:val="0"/>
              </w:numPr>
              <w:tabs>
                <w:tab w:val="clear" w:pos="567"/>
              </w:tabs>
              <w:spacing w:before="60" w:after="100"/>
              <w:rPr>
                <w:rFonts w:ascii="Calibri" w:hAnsi="Calibri" w:cs="Calibri"/>
                <w:sz w:val="22"/>
                <w:szCs w:val="22"/>
              </w:rPr>
            </w:pPr>
            <w:r w:rsidRPr="008F40B9">
              <w:rPr>
                <w:rFonts w:ascii="Calibri" w:hAnsi="Calibri" w:cs="Calibri"/>
                <w:sz w:val="22"/>
                <w:szCs w:val="22"/>
              </w:rPr>
              <w:t>Phase 2b: Multiple doses; June 2020 (NCT03942406)</w:t>
            </w:r>
          </w:p>
        </w:tc>
      </w:tr>
      <w:tr w:rsidR="00620FD1" w:rsidRPr="0000143A" w14:paraId="11D4ED6D"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20E68FF5" w14:textId="77777777" w:rsidR="00620FD1" w:rsidRPr="007A29DB" w:rsidRDefault="00620FD1" w:rsidP="00B92204">
            <w:pPr>
              <w:spacing w:before="60" w:after="60"/>
              <w:rPr>
                <w:b/>
              </w:rPr>
            </w:pPr>
            <w:r w:rsidRPr="007A29DB">
              <w:rPr>
                <w:b/>
              </w:rPr>
              <w:t>Proposed locations</w:t>
            </w:r>
          </w:p>
        </w:tc>
        <w:tc>
          <w:tcPr>
            <w:tcW w:w="7343" w:type="dxa"/>
            <w:tcBorders>
              <w:top w:val="single" w:sz="4" w:space="0" w:color="auto"/>
              <w:left w:val="single" w:sz="4" w:space="0" w:color="auto"/>
              <w:bottom w:val="single" w:sz="4" w:space="0" w:color="auto"/>
              <w:right w:val="single" w:sz="4" w:space="0" w:color="auto"/>
            </w:tcBorders>
          </w:tcPr>
          <w:p w14:paraId="482D6DAA" w14:textId="77777777" w:rsidR="00620FD1" w:rsidRPr="0000143A" w:rsidRDefault="00620FD1" w:rsidP="00B92204">
            <w:pPr>
              <w:spacing w:before="60" w:after="60"/>
            </w:pPr>
            <w:r w:rsidRPr="00EB3F18">
              <w:rPr>
                <w:rFonts w:cs="Calibri"/>
              </w:rPr>
              <w:t xml:space="preserve">This </w:t>
            </w:r>
            <w:r>
              <w:rPr>
                <w:rFonts w:cs="Calibri"/>
              </w:rPr>
              <w:t xml:space="preserve">clinical </w:t>
            </w:r>
            <w:r w:rsidRPr="00EB3F18">
              <w:rPr>
                <w:rFonts w:cs="Calibri"/>
              </w:rPr>
              <w:t xml:space="preserve">trial </w:t>
            </w:r>
            <w:r>
              <w:rPr>
                <w:rFonts w:cs="Calibri"/>
              </w:rPr>
              <w:t xml:space="preserve">would be conducted within </w:t>
            </w:r>
            <w:r w:rsidRPr="00EB3F18">
              <w:rPr>
                <w:rFonts w:cs="Calibri"/>
              </w:rPr>
              <w:t>clinical trial sites</w:t>
            </w:r>
            <w:r>
              <w:rPr>
                <w:rFonts w:cs="Calibri"/>
              </w:rPr>
              <w:t xml:space="preserve"> in Australia. The number of sites and specific locations are yet to be determined.  </w:t>
            </w:r>
          </w:p>
        </w:tc>
      </w:tr>
      <w:tr w:rsidR="00620FD1" w:rsidRPr="0000143A" w14:paraId="0BC798EE" w14:textId="77777777" w:rsidTr="00B92204">
        <w:tc>
          <w:tcPr>
            <w:tcW w:w="2263" w:type="dxa"/>
            <w:tcBorders>
              <w:top w:val="single" w:sz="4" w:space="0" w:color="auto"/>
              <w:left w:val="single" w:sz="4" w:space="0" w:color="auto"/>
              <w:bottom w:val="single" w:sz="4" w:space="0" w:color="auto"/>
              <w:right w:val="single" w:sz="4" w:space="0" w:color="auto"/>
            </w:tcBorders>
            <w:hideMark/>
          </w:tcPr>
          <w:p w14:paraId="30A519D5" w14:textId="77777777" w:rsidR="00620FD1" w:rsidRPr="007A29DB" w:rsidRDefault="00620FD1" w:rsidP="00B92204">
            <w:pPr>
              <w:spacing w:before="60" w:after="60"/>
              <w:rPr>
                <w:b/>
              </w:rPr>
            </w:pPr>
            <w:r>
              <w:rPr>
                <w:b/>
              </w:rPr>
              <w:t>Proposed limits and controls</w:t>
            </w:r>
            <w:r w:rsidRPr="007A29DB">
              <w:rPr>
                <w:b/>
              </w:rPr>
              <w:t xml:space="preserve"> </w:t>
            </w:r>
          </w:p>
        </w:tc>
        <w:tc>
          <w:tcPr>
            <w:tcW w:w="7343" w:type="dxa"/>
            <w:tcBorders>
              <w:top w:val="single" w:sz="4" w:space="0" w:color="auto"/>
              <w:left w:val="single" w:sz="4" w:space="0" w:color="auto"/>
              <w:bottom w:val="single" w:sz="4" w:space="0" w:color="auto"/>
              <w:right w:val="single" w:sz="4" w:space="0" w:color="auto"/>
            </w:tcBorders>
          </w:tcPr>
          <w:p w14:paraId="48DCD2CD" w14:textId="77777777" w:rsidR="00620FD1" w:rsidRDefault="00620FD1" w:rsidP="00620FD1">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sidRPr="00EB3F18">
              <w:rPr>
                <w:rFonts w:asciiTheme="minorHAnsi" w:hAnsiTheme="minorHAnsi" w:cstheme="minorHAnsi"/>
                <w:szCs w:val="22"/>
              </w:rPr>
              <w:t>The GMO w</w:t>
            </w:r>
            <w:r>
              <w:rPr>
                <w:rFonts w:asciiTheme="minorHAnsi" w:hAnsiTheme="minorHAnsi" w:cstheme="minorHAnsi"/>
                <w:szCs w:val="22"/>
              </w:rPr>
              <w:t>ould</w:t>
            </w:r>
            <w:r w:rsidRPr="00EB3F18">
              <w:rPr>
                <w:rFonts w:asciiTheme="minorHAnsi" w:hAnsiTheme="minorHAnsi" w:cstheme="minorHAnsi"/>
                <w:szCs w:val="22"/>
              </w:rPr>
              <w:t xml:space="preserve"> be administered to trial participants </w:t>
            </w:r>
            <w:r>
              <w:rPr>
                <w:rFonts w:asciiTheme="minorHAnsi" w:hAnsiTheme="minorHAnsi" w:cstheme="minorHAnsi"/>
                <w:szCs w:val="22"/>
              </w:rPr>
              <w:t>with</w:t>
            </w:r>
            <w:r w:rsidRPr="00EB3F18">
              <w:rPr>
                <w:rFonts w:asciiTheme="minorHAnsi" w:hAnsiTheme="minorHAnsi" w:cstheme="minorHAnsi"/>
                <w:szCs w:val="22"/>
              </w:rPr>
              <w:t>in a suitable medical facility.</w:t>
            </w:r>
          </w:p>
          <w:p w14:paraId="5A8FD4D1" w14:textId="77777777" w:rsidR="00620FD1" w:rsidRDefault="00620FD1" w:rsidP="00620FD1">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Pr>
                <w:rFonts w:asciiTheme="minorHAnsi" w:hAnsiTheme="minorHAnsi" w:cstheme="minorHAnsi"/>
                <w:szCs w:val="22"/>
              </w:rPr>
              <w:t>Number of participants would be restricted (~300 participants).</w:t>
            </w:r>
          </w:p>
          <w:p w14:paraId="5AE447AA" w14:textId="77777777" w:rsidR="00620FD1" w:rsidRDefault="00620FD1" w:rsidP="00620FD1">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Pr>
                <w:rFonts w:asciiTheme="minorHAnsi" w:hAnsiTheme="minorHAnsi" w:cstheme="minorHAnsi"/>
                <w:szCs w:val="22"/>
              </w:rPr>
              <w:t xml:space="preserve">Storage areas within clinical facilities would be limited to authorised personnel. </w:t>
            </w:r>
          </w:p>
          <w:p w14:paraId="029E3AA0" w14:textId="77777777" w:rsidR="00620FD1" w:rsidRPr="00292ABC" w:rsidRDefault="00620FD1" w:rsidP="00620FD1">
            <w:pPr>
              <w:pStyle w:val="ListParagraph"/>
              <w:numPr>
                <w:ilvl w:val="0"/>
                <w:numId w:val="4"/>
              </w:numPr>
              <w:spacing w:before="60" w:after="60"/>
              <w:contextualSpacing/>
              <w:rPr>
                <w:rFonts w:cs="Calibri"/>
                <w:szCs w:val="22"/>
              </w:rPr>
            </w:pPr>
            <w:r>
              <w:rPr>
                <w:rFonts w:cs="Calibri"/>
                <w:szCs w:val="22"/>
              </w:rPr>
              <w:t>Staff handling the GMO would be trained and wear personal protective equipment.</w:t>
            </w:r>
          </w:p>
          <w:p w14:paraId="0B3BB4E4" w14:textId="77777777" w:rsidR="00620FD1" w:rsidRPr="00E13D88" w:rsidRDefault="00620FD1" w:rsidP="00620FD1">
            <w:pPr>
              <w:pStyle w:val="ListParagraph"/>
              <w:numPr>
                <w:ilvl w:val="0"/>
                <w:numId w:val="4"/>
              </w:numPr>
              <w:spacing w:before="60" w:after="60"/>
              <w:contextualSpacing/>
              <w:rPr>
                <w:rFonts w:cs="Calibri"/>
                <w:szCs w:val="22"/>
              </w:rPr>
            </w:pPr>
            <w:r w:rsidRPr="00EB3F18">
              <w:rPr>
                <w:rFonts w:asciiTheme="minorHAnsi" w:hAnsiTheme="minorHAnsi" w:cstheme="minorHAnsi"/>
                <w:szCs w:val="22"/>
              </w:rPr>
              <w:t xml:space="preserve">Waste that may contain the GMO </w:t>
            </w:r>
            <w:r>
              <w:rPr>
                <w:rFonts w:asciiTheme="minorHAnsi" w:hAnsiTheme="minorHAnsi" w:cstheme="minorHAnsi"/>
                <w:szCs w:val="22"/>
              </w:rPr>
              <w:t xml:space="preserve">during administration </w:t>
            </w:r>
            <w:r w:rsidRPr="00EB3F18">
              <w:rPr>
                <w:rFonts w:asciiTheme="minorHAnsi" w:hAnsiTheme="minorHAnsi" w:cstheme="minorHAnsi"/>
                <w:szCs w:val="22"/>
              </w:rPr>
              <w:t>w</w:t>
            </w:r>
            <w:r>
              <w:rPr>
                <w:rFonts w:asciiTheme="minorHAnsi" w:hAnsiTheme="minorHAnsi" w:cstheme="minorHAnsi"/>
                <w:szCs w:val="22"/>
              </w:rPr>
              <w:t>ould</w:t>
            </w:r>
            <w:r w:rsidRPr="00EB3F18">
              <w:rPr>
                <w:rFonts w:asciiTheme="minorHAnsi" w:hAnsiTheme="minorHAnsi" w:cstheme="minorHAnsi"/>
                <w:szCs w:val="22"/>
              </w:rPr>
              <w:t xml:space="preserve"> be disposed of </w:t>
            </w:r>
            <w:r>
              <w:rPr>
                <w:rFonts w:asciiTheme="minorHAnsi" w:hAnsiTheme="minorHAnsi" w:cstheme="minorHAnsi"/>
                <w:szCs w:val="22"/>
              </w:rPr>
              <w:t xml:space="preserve">as infectious material (i.e. </w:t>
            </w:r>
            <w:r w:rsidRPr="00EB3F18">
              <w:rPr>
                <w:rFonts w:asciiTheme="minorHAnsi" w:hAnsiTheme="minorHAnsi" w:cstheme="minorHAnsi"/>
                <w:szCs w:val="22"/>
              </w:rPr>
              <w:t>via the clinical waste stream</w:t>
            </w:r>
            <w:r>
              <w:rPr>
                <w:rFonts w:asciiTheme="minorHAnsi" w:hAnsiTheme="minorHAnsi" w:cstheme="minorHAnsi"/>
                <w:szCs w:val="22"/>
              </w:rPr>
              <w:t>)</w:t>
            </w:r>
            <w:r w:rsidRPr="00EB3F18">
              <w:rPr>
                <w:rFonts w:asciiTheme="minorHAnsi" w:hAnsiTheme="minorHAnsi" w:cstheme="minorHAnsi"/>
                <w:szCs w:val="22"/>
              </w:rPr>
              <w:t>.</w:t>
            </w:r>
            <w:r w:rsidRPr="00E13D88">
              <w:rPr>
                <w:rFonts w:cs="Calibri"/>
                <w:szCs w:val="22"/>
              </w:rPr>
              <w:t xml:space="preserve"> </w:t>
            </w:r>
          </w:p>
          <w:p w14:paraId="0C973B1E" w14:textId="77777777" w:rsidR="00620FD1" w:rsidRPr="00405E93" w:rsidRDefault="00620FD1" w:rsidP="00620FD1">
            <w:pPr>
              <w:pStyle w:val="ListParagraph"/>
              <w:numPr>
                <w:ilvl w:val="0"/>
                <w:numId w:val="4"/>
              </w:numPr>
              <w:spacing w:before="60" w:after="60"/>
              <w:contextualSpacing/>
              <w:rPr>
                <w:rFonts w:cs="Calibri"/>
                <w:szCs w:val="22"/>
              </w:rPr>
            </w:pPr>
            <w:r>
              <w:rPr>
                <w:rFonts w:asciiTheme="minorHAnsi" w:hAnsiTheme="minorHAnsi" w:cstheme="minorHAnsi"/>
                <w:szCs w:val="22"/>
              </w:rPr>
              <w:t>Participants with frequent contact with children younger than 6 months of age; participants who live in the same household with individuals with known immunodeficiency; or individuals on immunosuppressant therapy would be excluded from the trial.</w:t>
            </w:r>
          </w:p>
          <w:p w14:paraId="20C39F6B" w14:textId="77777777" w:rsidR="00620FD1" w:rsidRPr="000A2F5B" w:rsidRDefault="00620FD1" w:rsidP="00620FD1">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sidRPr="000E7D71">
              <w:rPr>
                <w:rFonts w:cs="Calibri"/>
              </w:rPr>
              <w:t xml:space="preserve">Import, </w:t>
            </w:r>
            <w:proofErr w:type="gramStart"/>
            <w:r w:rsidRPr="000E7D71">
              <w:rPr>
                <w:rFonts w:cs="Calibri"/>
              </w:rPr>
              <w:t>transport</w:t>
            </w:r>
            <w:proofErr w:type="gramEnd"/>
            <w:r w:rsidRPr="000E7D71">
              <w:rPr>
                <w:rFonts w:cs="Calibri"/>
              </w:rPr>
              <w:t xml:space="preserve"> and storage of the GMO w</w:t>
            </w:r>
            <w:r>
              <w:rPr>
                <w:rFonts w:cs="Calibri"/>
              </w:rPr>
              <w:t>ould</w:t>
            </w:r>
            <w:r w:rsidRPr="000E7D71">
              <w:rPr>
                <w:rFonts w:cs="Calibri"/>
              </w:rPr>
              <w:t xml:space="preserve"> be carried out</w:t>
            </w:r>
            <w:r>
              <w:rPr>
                <w:rFonts w:cs="Calibri"/>
              </w:rPr>
              <w:t xml:space="preserve"> in accordance with</w:t>
            </w:r>
            <w:r w:rsidRPr="000E7D71">
              <w:rPr>
                <w:rFonts w:cs="Calibri"/>
              </w:rPr>
              <w:t xml:space="preserve"> the</w:t>
            </w:r>
            <w:r>
              <w:rPr>
                <w:rFonts w:cs="Calibri"/>
              </w:rPr>
              <w:t xml:space="preserve"> OGTR’s </w:t>
            </w:r>
            <w:r w:rsidRPr="00502CB6">
              <w:rPr>
                <w:rFonts w:cs="Calibri"/>
                <w:i/>
                <w:iCs/>
              </w:rPr>
              <w:t>Guidelines for the Transport, Storage and Disposal of GMOs</w:t>
            </w:r>
            <w:r>
              <w:rPr>
                <w:rFonts w:cs="Calibri"/>
              </w:rPr>
              <w:t>.</w:t>
            </w:r>
          </w:p>
        </w:tc>
      </w:tr>
    </w:tbl>
    <w:p w14:paraId="034292DE" w14:textId="77777777" w:rsidR="00620FD1" w:rsidRPr="0000143A" w:rsidRDefault="00620FD1" w:rsidP="00620FD1">
      <w:pPr>
        <w:pStyle w:val="Heading2"/>
        <w:numPr>
          <w:ilvl w:val="0"/>
          <w:numId w:val="0"/>
        </w:numPr>
      </w:pPr>
      <w:bookmarkStart w:id="16" w:name="_Toc342042136"/>
      <w:bookmarkStart w:id="17" w:name="_Toc47536736"/>
      <w:bookmarkStart w:id="18" w:name="_Toc87442322"/>
      <w:r w:rsidRPr="0000143A">
        <w:t>Risk assessment</w:t>
      </w:r>
      <w:bookmarkEnd w:id="12"/>
      <w:bookmarkEnd w:id="13"/>
      <w:bookmarkEnd w:id="14"/>
      <w:bookmarkEnd w:id="16"/>
      <w:bookmarkEnd w:id="17"/>
      <w:bookmarkEnd w:id="18"/>
    </w:p>
    <w:p w14:paraId="2C090F2A" w14:textId="77777777" w:rsidR="00620FD1" w:rsidRPr="006A4C01" w:rsidRDefault="00620FD1" w:rsidP="00620FD1">
      <w:pPr>
        <w:rPr>
          <w:bCs/>
        </w:rPr>
      </w:pPr>
      <w:r w:rsidRPr="006A4C01">
        <w:t xml:space="preserve">The risk assessment concludes that risks to the health and safety of people or the environment from the proposed clinical trial are </w:t>
      </w:r>
      <w:r w:rsidRPr="006A4C01">
        <w:rPr>
          <w:bCs/>
        </w:rPr>
        <w:t>negligible</w:t>
      </w:r>
      <w:r w:rsidRPr="006A4C01">
        <w:t>. N</w:t>
      </w:r>
      <w:r w:rsidRPr="006A4C01">
        <w:rPr>
          <w:bCs/>
        </w:rPr>
        <w:t>o specific risk treatment measures are required to manage these negligible risks.</w:t>
      </w:r>
    </w:p>
    <w:p w14:paraId="729780CB" w14:textId="77777777" w:rsidR="00620FD1" w:rsidRPr="009A2BA4" w:rsidRDefault="00620FD1" w:rsidP="00620FD1">
      <w:pPr>
        <w:spacing w:after="240"/>
      </w:pPr>
      <w:r w:rsidRPr="003A791E">
        <w:lastRenderedPageBreak/>
        <w:t>The risk assessment process considers how the genetic modifications and proposed activities conducted with the GMO might lead to harm to people or the environment. Risks are characterised in relation to both the seriousness and likelihood of harm, considering information in the application (including proposed controls), relevant previous approvals and current scientific/technical k</w:t>
      </w:r>
      <w:r w:rsidRPr="009A2BA4">
        <w:t>nowledge. Both the short- and long-term impact</w:t>
      </w:r>
      <w:r>
        <w:t>s</w:t>
      </w:r>
      <w:r w:rsidRPr="009A2BA4">
        <w:t xml:space="preserve"> are considered.</w:t>
      </w:r>
    </w:p>
    <w:p w14:paraId="3934E7FA" w14:textId="77777777" w:rsidR="00620FD1" w:rsidRPr="00F16D89" w:rsidRDefault="00620FD1" w:rsidP="00620FD1">
      <w:pPr>
        <w:spacing w:after="240"/>
      </w:pPr>
      <w:r w:rsidRPr="00A35744">
        <w:rPr>
          <w:rFonts w:cs="Calibri"/>
          <w:szCs w:val="22"/>
        </w:rPr>
        <w:t xml:space="preserve">Credible pathways to potential harm that were considered include the </w:t>
      </w:r>
      <w:r w:rsidRPr="006A4C01">
        <w:rPr>
          <w:rFonts w:cs="Calibri"/>
          <w:szCs w:val="22"/>
        </w:rPr>
        <w:t>potential exposure of people and animals to the GMO; and the potential for the GMO to transfer or acquire genetic material from other bacteria. The potential for the GMO to be released into the environment and its effects were also considered.</w:t>
      </w:r>
    </w:p>
    <w:p w14:paraId="3DB441F4" w14:textId="77777777" w:rsidR="00620FD1" w:rsidRPr="000A1FA7" w:rsidRDefault="00620FD1" w:rsidP="00620FD1">
      <w:pPr>
        <w:rPr>
          <w:rFonts w:cs="Calibri"/>
          <w:szCs w:val="22"/>
          <w:highlight w:val="yellow"/>
        </w:rPr>
      </w:pPr>
      <w:r w:rsidRPr="00F16D89">
        <w:rPr>
          <w:rFonts w:asciiTheme="minorHAnsi" w:hAnsiTheme="minorHAnsi" w:cstheme="minorHAnsi"/>
          <w:szCs w:val="22"/>
        </w:rPr>
        <w:t>Important factors in reaching the conclusions of the risk assessment included:</w:t>
      </w:r>
      <w:r>
        <w:rPr>
          <w:rFonts w:asciiTheme="minorHAnsi" w:hAnsiTheme="minorHAnsi" w:cstheme="minorHAnsi"/>
          <w:szCs w:val="22"/>
        </w:rPr>
        <w:t xml:space="preserve"> </w:t>
      </w:r>
    </w:p>
    <w:p w14:paraId="47530934" w14:textId="77777777" w:rsidR="00620FD1" w:rsidRPr="00A35744" w:rsidRDefault="00620FD1" w:rsidP="00620FD1">
      <w:pPr>
        <w:pStyle w:val="ListParagraph"/>
        <w:numPr>
          <w:ilvl w:val="0"/>
          <w:numId w:val="7"/>
        </w:numPr>
      </w:pPr>
      <w:r w:rsidRPr="00A35744">
        <w:t xml:space="preserve">The GMO is </w:t>
      </w:r>
      <w:r>
        <w:t xml:space="preserve">attenuated and unable to produce toxins responsible for </w:t>
      </w:r>
      <w:proofErr w:type="gramStart"/>
      <w:r>
        <w:t>disease</w:t>
      </w:r>
      <w:r w:rsidRPr="00A35744">
        <w:t>;</w:t>
      </w:r>
      <w:proofErr w:type="gramEnd"/>
    </w:p>
    <w:p w14:paraId="5794E861" w14:textId="77777777" w:rsidR="00620FD1" w:rsidRDefault="00620FD1" w:rsidP="00620FD1">
      <w:pPr>
        <w:pStyle w:val="RARMPnumberedparagraphs"/>
        <w:numPr>
          <w:ilvl w:val="0"/>
          <w:numId w:val="5"/>
        </w:numPr>
      </w:pPr>
      <w:r w:rsidRPr="00A35744">
        <w:t xml:space="preserve">The likelihood of accidental exposure to the GMO in people not being vaccinated (non-vaccinees) would be minimised due to </w:t>
      </w:r>
      <w:r>
        <w:t xml:space="preserve">proper work practices and </w:t>
      </w:r>
      <w:r w:rsidRPr="00A35744">
        <w:t xml:space="preserve">well-established </w:t>
      </w:r>
      <w:r w:rsidRPr="005B6431">
        <w:t>import, transport, storage and disposal</w:t>
      </w:r>
      <w:r w:rsidRPr="00A35744">
        <w:t xml:space="preserve"> </w:t>
      </w:r>
      <w:proofErr w:type="gramStart"/>
      <w:r w:rsidRPr="00A35744">
        <w:t>procedures;</w:t>
      </w:r>
      <w:proofErr w:type="gramEnd"/>
      <w:r w:rsidRPr="00A35744">
        <w:t xml:space="preserve"> </w:t>
      </w:r>
    </w:p>
    <w:p w14:paraId="06A3BEF0" w14:textId="77777777" w:rsidR="00620FD1" w:rsidRPr="006A4C01" w:rsidRDefault="00620FD1" w:rsidP="00620FD1">
      <w:pPr>
        <w:pStyle w:val="RARMPnumberedparagraphs"/>
        <w:numPr>
          <w:ilvl w:val="0"/>
          <w:numId w:val="5"/>
        </w:numPr>
      </w:pPr>
      <w:r w:rsidRPr="006A4C01">
        <w:rPr>
          <w:rFonts w:cs="Calibri"/>
        </w:rPr>
        <w:t xml:space="preserve">The likelihood of recombination of </w:t>
      </w:r>
      <w:r>
        <w:rPr>
          <w:rFonts w:cs="Calibri"/>
        </w:rPr>
        <w:t xml:space="preserve">the </w:t>
      </w:r>
      <w:r w:rsidRPr="006A4C01">
        <w:rPr>
          <w:rFonts w:cs="Calibri"/>
        </w:rPr>
        <w:t>GMO with other bacteria</w:t>
      </w:r>
      <w:r>
        <w:rPr>
          <w:rFonts w:cs="Calibri"/>
        </w:rPr>
        <w:t xml:space="preserve"> resulting in the restoration of its toxigenic function </w:t>
      </w:r>
      <w:r w:rsidRPr="006A4C01">
        <w:rPr>
          <w:rFonts w:cs="Calibri"/>
        </w:rPr>
        <w:t>is very low</w:t>
      </w:r>
      <w:r>
        <w:rPr>
          <w:rFonts w:cs="Calibri"/>
        </w:rPr>
        <w:t>; and</w:t>
      </w:r>
    </w:p>
    <w:p w14:paraId="52E0ADAA" w14:textId="77777777" w:rsidR="00620FD1" w:rsidRPr="006A4C01" w:rsidRDefault="00620FD1" w:rsidP="00620FD1">
      <w:pPr>
        <w:pStyle w:val="RARMPnumberedparagraphs"/>
        <w:numPr>
          <w:ilvl w:val="0"/>
          <w:numId w:val="5"/>
        </w:numPr>
      </w:pPr>
      <w:r>
        <w:t>The availability of antibiotic treatment for the GMO.</w:t>
      </w:r>
    </w:p>
    <w:p w14:paraId="1073409B" w14:textId="77777777" w:rsidR="00620FD1" w:rsidRDefault="00620FD1" w:rsidP="00620FD1">
      <w:pPr>
        <w:pStyle w:val="RARMPnumberedparagraphs"/>
        <w:numPr>
          <w:ilvl w:val="0"/>
          <w:numId w:val="0"/>
        </w:numPr>
        <w:rPr>
          <w:highlight w:val="yellow"/>
        </w:rPr>
      </w:pPr>
      <w:r w:rsidRPr="00AB69DB">
        <w:rPr>
          <w:rFonts w:asciiTheme="minorHAnsi" w:hAnsiTheme="minorHAnsi" w:cstheme="minorHAnsi"/>
          <w:szCs w:val="22"/>
        </w:rPr>
        <w:t xml:space="preserve">As risks to the health and safety of people, or the environment, from the proposed trial of the GM </w:t>
      </w:r>
      <w:r>
        <w:rPr>
          <w:rFonts w:asciiTheme="minorHAnsi" w:hAnsiTheme="minorHAnsi" w:cstheme="minorHAnsi"/>
          <w:szCs w:val="22"/>
        </w:rPr>
        <w:t xml:space="preserve">vaccine </w:t>
      </w:r>
      <w:r w:rsidRPr="00AB69DB">
        <w:rPr>
          <w:rFonts w:asciiTheme="minorHAnsi" w:hAnsiTheme="minorHAnsi" w:cstheme="minorHAnsi"/>
          <w:szCs w:val="22"/>
        </w:rPr>
        <w:t>have been assessed as negligible, the Regulator considers that the dealings involved do not pose a significant risk to either people or the environment</w:t>
      </w:r>
      <w:r>
        <w:rPr>
          <w:rFonts w:asciiTheme="minorHAnsi" w:hAnsiTheme="minorHAnsi" w:cstheme="minorHAnsi"/>
          <w:szCs w:val="22"/>
        </w:rPr>
        <w:t>.</w:t>
      </w:r>
    </w:p>
    <w:p w14:paraId="308238BA" w14:textId="77777777" w:rsidR="00620FD1" w:rsidRPr="0000143A" w:rsidRDefault="00620FD1" w:rsidP="00620FD1">
      <w:pPr>
        <w:pStyle w:val="Heading2"/>
        <w:numPr>
          <w:ilvl w:val="0"/>
          <w:numId w:val="0"/>
        </w:numPr>
      </w:pPr>
      <w:bookmarkStart w:id="19" w:name="_Toc47536737"/>
      <w:bookmarkStart w:id="20" w:name="_Toc87442323"/>
      <w:r w:rsidRPr="009842DD">
        <w:t>Risk ma</w:t>
      </w:r>
      <w:bookmarkStart w:id="21" w:name="_Toc209859549"/>
      <w:bookmarkStart w:id="22" w:name="_Toc342042137"/>
      <w:bookmarkStart w:id="23" w:name="_Toc291151778"/>
      <w:bookmarkStart w:id="24" w:name="_Toc274904728"/>
      <w:r w:rsidRPr="009842DD">
        <w:t>nagement</w:t>
      </w:r>
      <w:bookmarkEnd w:id="19"/>
      <w:bookmarkEnd w:id="20"/>
      <w:bookmarkEnd w:id="21"/>
      <w:bookmarkEnd w:id="22"/>
      <w:bookmarkEnd w:id="23"/>
      <w:bookmarkEnd w:id="24"/>
    </w:p>
    <w:p w14:paraId="0EC6F6D0" w14:textId="77777777" w:rsidR="00620FD1" w:rsidRPr="00961290" w:rsidRDefault="00620FD1" w:rsidP="00620FD1">
      <w:pPr>
        <w:rPr>
          <w:rFonts w:eastAsia="SimSun"/>
          <w:szCs w:val="22"/>
        </w:rPr>
      </w:pPr>
      <w:r w:rsidRPr="00961290">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w:t>
      </w:r>
    </w:p>
    <w:p w14:paraId="00D7D002" w14:textId="01F748BB" w:rsidR="00280050" w:rsidRDefault="00620FD1" w:rsidP="00620FD1">
      <w:pPr>
        <w:ind w:right="-188"/>
      </w:pPr>
      <w:r w:rsidRPr="006A4C01">
        <w:rPr>
          <w:rFonts w:eastAsia="SimSun"/>
          <w:szCs w:val="22"/>
        </w:rPr>
        <w:t>As the level of risk is considered negligible,</w:t>
      </w:r>
      <w:r w:rsidRPr="006A4C01" w:rsidDel="00DB4CC6">
        <w:rPr>
          <w:rFonts w:eastAsia="SimSun"/>
          <w:szCs w:val="22"/>
        </w:rPr>
        <w:t xml:space="preserve"> </w:t>
      </w:r>
      <w:r w:rsidRPr="006A4C01">
        <w:rPr>
          <w:rFonts w:eastAsia="SimSun"/>
          <w:szCs w:val="22"/>
        </w:rPr>
        <w:t>specific risk treatment is not required. However, since this is a clinical trial, the licence includes limits on the number of trial participants, locations limited to hospitals and clinical trial sites, limits on the duration of the trial, as well as a range of controls to minimise the potential for the GMO to spread in the environment. In addition, there are several general conditions relating to ongoing licence holder suitability, auditing and monitoring, and reporting requirements which include an obligation to report any unintended effects</w:t>
      </w:r>
      <w:r w:rsidR="008A1EA6" w:rsidRPr="00961290">
        <w:rPr>
          <w:rFonts w:eastAsia="SimSun"/>
          <w:szCs w:val="22"/>
        </w:rPr>
        <w:t>.</w:t>
      </w:r>
    </w:p>
    <w:sectPr w:rsidR="00280050" w:rsidSect="008220EE">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3654" w14:textId="77777777" w:rsidR="00656906" w:rsidRDefault="00656906" w:rsidP="008A1EA6">
      <w:pPr>
        <w:spacing w:before="0" w:after="0"/>
      </w:pPr>
      <w:r>
        <w:separator/>
      </w:r>
    </w:p>
  </w:endnote>
  <w:endnote w:type="continuationSeparator" w:id="0">
    <w:p w14:paraId="38BC56D5" w14:textId="77777777" w:rsidR="00656906" w:rsidRDefault="00656906" w:rsidP="008A1E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22577" w14:textId="77777777" w:rsidR="008220EE" w:rsidRPr="00236287" w:rsidRDefault="008220EE" w:rsidP="008220EE">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52D40FF6" w14:textId="77777777" w:rsidR="008220EE" w:rsidRPr="004A40C5" w:rsidRDefault="008220EE" w:rsidP="008220EE">
    <w:pPr>
      <w:pStyle w:val="Footer"/>
      <w:jc w:val="center"/>
      <w:rPr>
        <w:rFonts w:cs="Calibri"/>
        <w:sz w:val="20"/>
        <w:szCs w:val="20"/>
      </w:rPr>
    </w:pPr>
    <w:r w:rsidRPr="00236287">
      <w:rPr>
        <w:rFonts w:cs="Calibri"/>
        <w:noProof/>
        <w:sz w:val="20"/>
        <w:szCs w:val="20"/>
      </w:rPr>
      <w:t>Telephone: 1800 181 030  Email: ogtr@health.gov.au</w:t>
    </w:r>
  </w:p>
  <w:p w14:paraId="2C752004" w14:textId="77777777" w:rsidR="008220EE" w:rsidRDefault="0082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4414" w14:textId="77777777" w:rsidR="00656906" w:rsidRDefault="00656906" w:rsidP="008A1EA6">
      <w:pPr>
        <w:spacing w:before="0" w:after="0"/>
      </w:pPr>
      <w:r>
        <w:separator/>
      </w:r>
    </w:p>
  </w:footnote>
  <w:footnote w:type="continuationSeparator" w:id="0">
    <w:p w14:paraId="13DD3FED" w14:textId="77777777" w:rsidR="00656906" w:rsidRDefault="00656906" w:rsidP="008A1EA6">
      <w:pPr>
        <w:spacing w:before="0" w:after="0"/>
      </w:pPr>
      <w:r>
        <w:continuationSeparator/>
      </w:r>
    </w:p>
  </w:footnote>
  <w:footnote w:id="1">
    <w:p w14:paraId="06ADE622" w14:textId="77777777" w:rsidR="00620FD1" w:rsidRPr="00EE76E9" w:rsidRDefault="00620FD1" w:rsidP="00620FD1">
      <w:pPr>
        <w:autoSpaceDE w:val="0"/>
        <w:autoSpaceDN w:val="0"/>
        <w:adjustRightInd w:val="0"/>
        <w:rPr>
          <w:rFonts w:asciiTheme="minorHAnsi" w:hAnsiTheme="minorHAnsi" w:cstheme="minorHAnsi"/>
          <w:szCs w:val="22"/>
        </w:rPr>
      </w:pPr>
      <w:r w:rsidRPr="00EE76E9">
        <w:rPr>
          <w:rStyle w:val="FootnoteReference"/>
          <w:rFonts w:asciiTheme="minorHAnsi" w:hAnsiTheme="minorHAnsi" w:cstheme="minorHAnsi"/>
          <w:szCs w:val="22"/>
        </w:rPr>
        <w:footnoteRef/>
      </w:r>
      <w:r w:rsidRPr="00EE76E9">
        <w:rPr>
          <w:rFonts w:asciiTheme="minorHAnsi" w:hAnsiTheme="minorHAnsi" w:cstheme="minorHAnsi"/>
          <w:szCs w:val="22"/>
        </w:rPr>
        <w:t xml:space="preserve"> The title of the licence application submitted by </w:t>
      </w:r>
      <w:proofErr w:type="spellStart"/>
      <w:r>
        <w:rPr>
          <w:rFonts w:asciiTheme="minorHAnsi" w:hAnsiTheme="minorHAnsi" w:cstheme="minorHAnsi"/>
          <w:szCs w:val="22"/>
        </w:rPr>
        <w:t>Novotech</w:t>
      </w:r>
      <w:proofErr w:type="spellEnd"/>
      <w:r>
        <w:rPr>
          <w:rFonts w:asciiTheme="minorHAnsi" w:hAnsiTheme="minorHAnsi" w:cstheme="minorHAnsi"/>
          <w:szCs w:val="22"/>
        </w:rPr>
        <w:t xml:space="preserve"> (Australia)</w:t>
      </w:r>
      <w:r w:rsidRPr="00EE76E9">
        <w:rPr>
          <w:rFonts w:asciiTheme="minorHAnsi" w:hAnsiTheme="minorHAnsi" w:cstheme="minorHAnsi"/>
          <w:szCs w:val="22"/>
        </w:rPr>
        <w:t xml:space="preserve"> Pty Ltd is “Clinical </w:t>
      </w:r>
      <w:r>
        <w:rPr>
          <w:rFonts w:asciiTheme="minorHAnsi" w:hAnsiTheme="minorHAnsi" w:cstheme="minorHAnsi"/>
          <w:szCs w:val="22"/>
        </w:rPr>
        <w:t>trials with BPZE1</w:t>
      </w:r>
      <w:r w:rsidRPr="00EE76E9">
        <w:rPr>
          <w:rFonts w:asciiTheme="minorHAnsi" w:hAnsiTheme="minorHAnsi" w:cstheme="minorHAnsi"/>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905C" w14:textId="3938C19C" w:rsidR="008220EE" w:rsidRDefault="008220EE" w:rsidP="008220EE">
    <w:pPr>
      <w:pStyle w:val="Header"/>
    </w:pPr>
    <w:r w:rsidRPr="00542559">
      <w:rPr>
        <w:rFonts w:cs="Calibri"/>
        <w:noProof/>
        <w:szCs w:val="22"/>
      </w:rPr>
      <w:drawing>
        <wp:inline distT="0" distB="0" distL="0" distR="0" wp14:anchorId="3F8568CC" wp14:editId="7C122269">
          <wp:extent cx="3337200" cy="950400"/>
          <wp:effectExtent l="0" t="0" r="0" b="254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t xml:space="preserve">                                         </w:t>
    </w:r>
    <w:r w:rsidR="00344166">
      <w:t>8</w:t>
    </w:r>
    <w:r>
      <w:t xml:space="preserve"> </w:t>
    </w:r>
    <w:r w:rsidR="00620FD1">
      <w:t>December</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547FF"/>
    <w:multiLevelType w:val="hybridMultilevel"/>
    <w:tmpl w:val="D46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E6B2DCC"/>
    <w:multiLevelType w:val="hybridMultilevel"/>
    <w:tmpl w:val="DF323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A6"/>
    <w:rsid w:val="0009657C"/>
    <w:rsid w:val="00280050"/>
    <w:rsid w:val="00344166"/>
    <w:rsid w:val="00614D02"/>
    <w:rsid w:val="00620FD1"/>
    <w:rsid w:val="00656906"/>
    <w:rsid w:val="008220EE"/>
    <w:rsid w:val="008A1EA6"/>
    <w:rsid w:val="00B40901"/>
    <w:rsid w:val="00B94D33"/>
    <w:rsid w:val="00CA6CB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2A0BD"/>
  <w15:chartTrackingRefBased/>
  <w15:docId w15:val="{B6338F44-4723-40EA-AA7C-8107AC79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A6"/>
    <w:pPr>
      <w:spacing w:before="120" w:after="120" w:line="240" w:lineRule="auto"/>
    </w:pPr>
    <w:rPr>
      <w:rFonts w:ascii="Calibri" w:eastAsia="Times New Roman" w:hAnsi="Calibri"/>
      <w:sz w:val="22"/>
      <w:lang w:eastAsia="en-AU"/>
    </w:rPr>
  </w:style>
  <w:style w:type="paragraph" w:styleId="Heading1">
    <w:name w:val="heading 1"/>
    <w:basedOn w:val="Normal"/>
    <w:next w:val="Normal"/>
    <w:link w:val="Heading1Char"/>
    <w:autoRedefine/>
    <w:qFormat/>
    <w:rsid w:val="008220EE"/>
    <w:pPr>
      <w:keepNext/>
      <w:tabs>
        <w:tab w:val="left" w:pos="2268"/>
      </w:tabs>
      <w:spacing w:before="240" w:after="60"/>
      <w:ind w:left="1814" w:right="-188"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8A1EA6"/>
    <w:pPr>
      <w:keepNext/>
      <w:numPr>
        <w:ilvl w:val="1"/>
        <w:numId w:val="3"/>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8A1EA6"/>
    <w:pPr>
      <w:keepNext/>
      <w:numPr>
        <w:ilvl w:val="2"/>
        <w:numId w:val="3"/>
      </w:numPr>
      <w:tabs>
        <w:tab w:val="left" w:pos="851"/>
      </w:tabs>
      <w:outlineLvl w:val="2"/>
    </w:pPr>
    <w:rPr>
      <w:rFonts w:ascii="Arial (W1)" w:hAnsi="Arial (W1)"/>
      <w:b/>
      <w:szCs w:val="20"/>
    </w:rPr>
  </w:style>
  <w:style w:type="paragraph" w:styleId="Heading4">
    <w:name w:val="heading 4"/>
    <w:basedOn w:val="Normal"/>
    <w:next w:val="Normal"/>
    <w:link w:val="Heading4Char"/>
    <w:qFormat/>
    <w:rsid w:val="008A1EA6"/>
    <w:pPr>
      <w:keepNext/>
      <w:numPr>
        <w:ilvl w:val="3"/>
        <w:numId w:val="3"/>
      </w:numPr>
      <w:tabs>
        <w:tab w:val="left" w:pos="851"/>
      </w:tabs>
      <w:outlineLvl w:val="3"/>
    </w:pPr>
    <w:rPr>
      <w:rFonts w:ascii="Arial (W1)" w:hAnsi="Arial (W1)"/>
      <w:b/>
      <w:i/>
      <w:szCs w:val="22"/>
    </w:rPr>
  </w:style>
  <w:style w:type="paragraph" w:styleId="Heading5">
    <w:name w:val="heading 5"/>
    <w:basedOn w:val="Normal"/>
    <w:next w:val="Normal"/>
    <w:link w:val="Heading5Char"/>
    <w:qFormat/>
    <w:rsid w:val="008A1EA6"/>
    <w:pPr>
      <w:keepNext/>
      <w:numPr>
        <w:ilvl w:val="4"/>
        <w:numId w:val="3"/>
      </w:numPr>
      <w:spacing w:before="240" w:after="60"/>
      <w:outlineLvl w:val="4"/>
    </w:pPr>
    <w:rPr>
      <w:bCs/>
      <w:iCs/>
      <w:u w:val="single"/>
    </w:rPr>
  </w:style>
  <w:style w:type="paragraph" w:styleId="Heading6">
    <w:name w:val="heading 6"/>
    <w:basedOn w:val="Normal"/>
    <w:next w:val="Normal"/>
    <w:link w:val="Heading6Char"/>
    <w:unhideWhenUsed/>
    <w:qFormat/>
    <w:rsid w:val="008A1EA6"/>
    <w:pPr>
      <w:numPr>
        <w:ilvl w:val="5"/>
        <w:numId w:val="3"/>
      </w:numPr>
      <w:spacing w:before="240" w:after="60"/>
      <w:outlineLvl w:val="5"/>
    </w:pPr>
    <w:rPr>
      <w:b/>
      <w:bCs/>
      <w:szCs w:val="22"/>
    </w:rPr>
  </w:style>
  <w:style w:type="paragraph" w:styleId="Heading7">
    <w:name w:val="heading 7"/>
    <w:basedOn w:val="Normal"/>
    <w:next w:val="Normal"/>
    <w:link w:val="Heading7Char"/>
    <w:unhideWhenUsed/>
    <w:qFormat/>
    <w:rsid w:val="008A1EA6"/>
    <w:pPr>
      <w:numPr>
        <w:ilvl w:val="6"/>
        <w:numId w:val="3"/>
      </w:numPr>
      <w:spacing w:before="240" w:after="60"/>
      <w:outlineLvl w:val="6"/>
    </w:pPr>
  </w:style>
  <w:style w:type="paragraph" w:styleId="Heading8">
    <w:name w:val="heading 8"/>
    <w:basedOn w:val="Normal"/>
    <w:next w:val="Normal"/>
    <w:link w:val="Heading8Char"/>
    <w:qFormat/>
    <w:rsid w:val="008A1EA6"/>
    <w:pPr>
      <w:numPr>
        <w:ilvl w:val="7"/>
        <w:numId w:val="3"/>
      </w:numPr>
      <w:spacing w:before="240" w:after="60"/>
      <w:outlineLvl w:val="7"/>
    </w:pPr>
    <w:rPr>
      <w:i/>
      <w:iCs/>
    </w:rPr>
  </w:style>
  <w:style w:type="paragraph" w:styleId="Heading9">
    <w:name w:val="heading 9"/>
    <w:basedOn w:val="Normal"/>
    <w:next w:val="Normal"/>
    <w:link w:val="Heading9Char"/>
    <w:unhideWhenUsed/>
    <w:qFormat/>
    <w:rsid w:val="008A1EA6"/>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0EE"/>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8A1EA6"/>
    <w:rPr>
      <w:rFonts w:ascii="Calibri" w:eastAsia="Times New Roman" w:hAnsi="Calibri"/>
      <w:b/>
      <w:i/>
      <w:sz w:val="28"/>
      <w:szCs w:val="28"/>
      <w:lang w:eastAsia="en-AU"/>
    </w:rPr>
  </w:style>
  <w:style w:type="character" w:customStyle="1" w:styleId="Heading3Char">
    <w:name w:val="Heading 3 Char"/>
    <w:basedOn w:val="DefaultParagraphFont"/>
    <w:link w:val="Heading3"/>
    <w:rsid w:val="008A1EA6"/>
    <w:rPr>
      <w:rFonts w:ascii="Arial (W1)" w:eastAsia="Times New Roman" w:hAnsi="Arial (W1)"/>
      <w:b/>
      <w:sz w:val="22"/>
      <w:szCs w:val="20"/>
      <w:lang w:eastAsia="en-AU"/>
    </w:rPr>
  </w:style>
  <w:style w:type="character" w:customStyle="1" w:styleId="Heading4Char">
    <w:name w:val="Heading 4 Char"/>
    <w:basedOn w:val="DefaultParagraphFont"/>
    <w:link w:val="Heading4"/>
    <w:rsid w:val="008A1EA6"/>
    <w:rPr>
      <w:rFonts w:ascii="Arial (W1)" w:eastAsia="Times New Roman" w:hAnsi="Arial (W1)"/>
      <w:b/>
      <w:i/>
      <w:sz w:val="22"/>
      <w:szCs w:val="22"/>
      <w:lang w:eastAsia="en-AU"/>
    </w:rPr>
  </w:style>
  <w:style w:type="character" w:customStyle="1" w:styleId="Heading5Char">
    <w:name w:val="Heading 5 Char"/>
    <w:basedOn w:val="DefaultParagraphFont"/>
    <w:link w:val="Heading5"/>
    <w:rsid w:val="008A1EA6"/>
    <w:rPr>
      <w:rFonts w:ascii="Calibri" w:eastAsia="Times New Roman" w:hAnsi="Calibri"/>
      <w:bCs/>
      <w:iCs/>
      <w:sz w:val="22"/>
      <w:u w:val="single"/>
      <w:lang w:eastAsia="en-AU"/>
    </w:rPr>
  </w:style>
  <w:style w:type="character" w:customStyle="1" w:styleId="Heading6Char">
    <w:name w:val="Heading 6 Char"/>
    <w:basedOn w:val="DefaultParagraphFont"/>
    <w:link w:val="Heading6"/>
    <w:rsid w:val="008A1EA6"/>
    <w:rPr>
      <w:rFonts w:ascii="Calibri" w:eastAsia="Times New Roman" w:hAnsi="Calibri"/>
      <w:b/>
      <w:bCs/>
      <w:sz w:val="22"/>
      <w:szCs w:val="22"/>
      <w:lang w:eastAsia="en-AU"/>
    </w:rPr>
  </w:style>
  <w:style w:type="character" w:customStyle="1" w:styleId="Heading7Char">
    <w:name w:val="Heading 7 Char"/>
    <w:basedOn w:val="DefaultParagraphFont"/>
    <w:link w:val="Heading7"/>
    <w:rsid w:val="008A1EA6"/>
    <w:rPr>
      <w:rFonts w:ascii="Calibri" w:eastAsia="Times New Roman" w:hAnsi="Calibri"/>
      <w:sz w:val="22"/>
      <w:lang w:eastAsia="en-AU"/>
    </w:rPr>
  </w:style>
  <w:style w:type="character" w:customStyle="1" w:styleId="Heading8Char">
    <w:name w:val="Heading 8 Char"/>
    <w:basedOn w:val="DefaultParagraphFont"/>
    <w:link w:val="Heading8"/>
    <w:rsid w:val="008A1EA6"/>
    <w:rPr>
      <w:rFonts w:ascii="Calibri" w:eastAsia="Times New Roman" w:hAnsi="Calibri"/>
      <w:i/>
      <w:iCs/>
      <w:sz w:val="22"/>
      <w:lang w:eastAsia="en-AU"/>
    </w:rPr>
  </w:style>
  <w:style w:type="character" w:customStyle="1" w:styleId="Heading9Char">
    <w:name w:val="Heading 9 Char"/>
    <w:basedOn w:val="DefaultParagraphFont"/>
    <w:link w:val="Heading9"/>
    <w:rsid w:val="008A1EA6"/>
    <w:rPr>
      <w:rFonts w:ascii="Arial" w:eastAsia="Times New Roman" w:hAnsi="Arial" w:cs="Arial"/>
      <w:sz w:val="22"/>
      <w:szCs w:val="22"/>
      <w:lang w:eastAsia="en-AU"/>
    </w:rPr>
  </w:style>
  <w:style w:type="character" w:styleId="FootnoteReference">
    <w:name w:val="footnote reference"/>
    <w:rsid w:val="008A1EA6"/>
    <w:rPr>
      <w:vertAlign w:val="superscript"/>
    </w:rPr>
  </w:style>
  <w:style w:type="paragraph" w:customStyle="1" w:styleId="RARMPnumberedparagraphs">
    <w:name w:val="RARMP numbered paragraphs"/>
    <w:basedOn w:val="ListParagraph"/>
    <w:link w:val="RARMPnumberedparagraphsChar"/>
    <w:qFormat/>
    <w:rsid w:val="008A1EA6"/>
    <w:pPr>
      <w:numPr>
        <w:numId w:val="1"/>
      </w:numPr>
      <w:tabs>
        <w:tab w:val="num" w:pos="567"/>
      </w:tabs>
      <w:ind w:left="0" w:firstLine="0"/>
    </w:pPr>
    <w:rPr>
      <w:rFonts w:eastAsia="Times New Roman"/>
      <w:lang w:eastAsia="en-AU"/>
    </w:rPr>
  </w:style>
  <w:style w:type="character" w:styleId="Hyperlink">
    <w:name w:val="Hyperlink"/>
    <w:basedOn w:val="DefaultParagraphFont"/>
    <w:uiPriority w:val="99"/>
    <w:rsid w:val="008A1EA6"/>
    <w:rPr>
      <w:u w:val="single"/>
    </w:rPr>
  </w:style>
  <w:style w:type="character" w:customStyle="1" w:styleId="ListParagraphChar">
    <w:name w:val="List Paragraph Char"/>
    <w:basedOn w:val="DefaultParagraphFont"/>
    <w:link w:val="ListParagraph"/>
    <w:uiPriority w:val="34"/>
    <w:rsid w:val="008A1EA6"/>
    <w:rPr>
      <w:rFonts w:ascii="Calibri" w:hAnsi="Calibri"/>
      <w:sz w:val="22"/>
    </w:rPr>
  </w:style>
  <w:style w:type="character" w:customStyle="1" w:styleId="RARMPnumberedparagraphsChar">
    <w:name w:val="RARMP numbered paragraphs Char"/>
    <w:basedOn w:val="ListParagraphChar"/>
    <w:link w:val="RARMPnumberedparagraphs"/>
    <w:rsid w:val="008A1EA6"/>
    <w:rPr>
      <w:rFonts w:ascii="Calibri" w:eastAsia="Times New Roman" w:hAnsi="Calibri"/>
      <w:sz w:val="22"/>
      <w:lang w:eastAsia="en-AU"/>
    </w:rPr>
  </w:style>
  <w:style w:type="paragraph" w:styleId="ListParagraph">
    <w:name w:val="List Paragraph"/>
    <w:basedOn w:val="Normal"/>
    <w:link w:val="ListParagraphChar"/>
    <w:uiPriority w:val="34"/>
    <w:qFormat/>
    <w:rsid w:val="008A1EA6"/>
    <w:pPr>
      <w:ind w:left="720"/>
    </w:pPr>
    <w:rPr>
      <w:rFonts w:eastAsiaTheme="minorHAnsi"/>
      <w:lang w:eastAsia="en-US"/>
    </w:rPr>
  </w:style>
  <w:style w:type="paragraph" w:customStyle="1" w:styleId="Para">
    <w:name w:val="Para"/>
    <w:basedOn w:val="Normal"/>
    <w:link w:val="ParaCharChar"/>
    <w:autoRedefine/>
    <w:rsid w:val="008A1EA6"/>
    <w:pPr>
      <w:numPr>
        <w:numId w:val="2"/>
      </w:numPr>
      <w:tabs>
        <w:tab w:val="clear" w:pos="6755"/>
        <w:tab w:val="left" w:pos="567"/>
        <w:tab w:val="num" w:pos="771"/>
      </w:tabs>
    </w:pPr>
    <w:rPr>
      <w:rFonts w:ascii="Times New Roman" w:hAnsi="Times New Roman"/>
      <w:sz w:val="24"/>
    </w:rPr>
  </w:style>
  <w:style w:type="paragraph" w:customStyle="1" w:styleId="RIGHTLIST">
    <w:name w:val="RIGHTLIST"/>
    <w:basedOn w:val="Normal"/>
    <w:link w:val="RIGHTLISTChar"/>
    <w:rsid w:val="008A1EA6"/>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8A1EA6"/>
    <w:rPr>
      <w:rFonts w:eastAsia="Times New Roman"/>
      <w:sz w:val="22"/>
      <w:szCs w:val="22"/>
      <w:lang w:eastAsia="en-AU"/>
    </w:rPr>
  </w:style>
  <w:style w:type="character" w:customStyle="1" w:styleId="ParaCharChar">
    <w:name w:val="Para Char Char"/>
    <w:basedOn w:val="DefaultParagraphFont"/>
    <w:link w:val="Para"/>
    <w:locked/>
    <w:rsid w:val="008A1EA6"/>
    <w:rPr>
      <w:rFonts w:eastAsia="Times New Roman"/>
      <w:lang w:eastAsia="en-AU"/>
    </w:rPr>
  </w:style>
  <w:style w:type="paragraph" w:styleId="Header">
    <w:name w:val="header"/>
    <w:basedOn w:val="Normal"/>
    <w:link w:val="HeaderChar"/>
    <w:uiPriority w:val="99"/>
    <w:unhideWhenUsed/>
    <w:rsid w:val="008A1EA6"/>
    <w:pPr>
      <w:tabs>
        <w:tab w:val="center" w:pos="4513"/>
        <w:tab w:val="right" w:pos="9026"/>
      </w:tabs>
      <w:spacing w:before="0" w:after="0"/>
    </w:pPr>
  </w:style>
  <w:style w:type="character" w:customStyle="1" w:styleId="HeaderChar">
    <w:name w:val="Header Char"/>
    <w:basedOn w:val="DefaultParagraphFont"/>
    <w:link w:val="Header"/>
    <w:uiPriority w:val="99"/>
    <w:rsid w:val="008A1EA6"/>
    <w:rPr>
      <w:rFonts w:ascii="Calibri" w:eastAsia="Times New Roman" w:hAnsi="Calibri"/>
      <w:sz w:val="22"/>
      <w:lang w:eastAsia="en-AU"/>
    </w:rPr>
  </w:style>
  <w:style w:type="paragraph" w:styleId="Footer">
    <w:name w:val="footer"/>
    <w:basedOn w:val="Normal"/>
    <w:link w:val="FooterChar"/>
    <w:uiPriority w:val="99"/>
    <w:unhideWhenUsed/>
    <w:rsid w:val="008A1EA6"/>
    <w:pPr>
      <w:tabs>
        <w:tab w:val="center" w:pos="4513"/>
        <w:tab w:val="right" w:pos="9026"/>
      </w:tabs>
      <w:spacing w:before="0" w:after="0"/>
    </w:pPr>
  </w:style>
  <w:style w:type="character" w:customStyle="1" w:styleId="FooterChar">
    <w:name w:val="Footer Char"/>
    <w:basedOn w:val="DefaultParagraphFont"/>
    <w:link w:val="Footer"/>
    <w:uiPriority w:val="99"/>
    <w:rsid w:val="008A1EA6"/>
    <w:rPr>
      <w:rFonts w:ascii="Calibri" w:eastAsia="Times New Roman" w:hAnsi="Calibri"/>
      <w:sz w:val="22"/>
      <w:lang w:eastAsia="en-AU"/>
    </w:rPr>
  </w:style>
  <w:style w:type="character" w:styleId="CommentReference">
    <w:name w:val="annotation reference"/>
    <w:basedOn w:val="DefaultParagraphFont"/>
    <w:uiPriority w:val="99"/>
    <w:rsid w:val="00620F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185 - Sumary of Risk Assessment and Risk Management Plan</dc:title>
  <dc:subject/>
  <dc:creator>OGTR.Voicemail@health.gov.au</dc:creator>
  <cp:keywords/>
  <dc:description/>
  <cp:lastModifiedBy>SMITH, Justine</cp:lastModifiedBy>
  <cp:revision>2</cp:revision>
  <dcterms:created xsi:type="dcterms:W3CDTF">2021-12-09T03:05:00Z</dcterms:created>
  <dcterms:modified xsi:type="dcterms:W3CDTF">2021-12-09T03:05:00Z</dcterms:modified>
</cp:coreProperties>
</file>