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5C5C2" w14:textId="77777777" w:rsidR="00542559" w:rsidRPr="00542559" w:rsidRDefault="00542559" w:rsidP="00542559">
      <w:pPr>
        <w:keepNext/>
        <w:tabs>
          <w:tab w:val="left" w:pos="2268"/>
        </w:tabs>
        <w:spacing w:before="240" w:after="60"/>
        <w:ind w:left="1814" w:hanging="1814"/>
        <w:jc w:val="center"/>
        <w:outlineLvl w:val="0"/>
        <w:rPr>
          <w:rFonts w:eastAsia="Times New Roman" w:cs="Arial"/>
          <w:b/>
          <w:snapToGrid w:val="0"/>
          <w:sz w:val="36"/>
          <w:szCs w:val="36"/>
          <w:lang w:eastAsia="en-US"/>
        </w:rPr>
      </w:pPr>
      <w:bookmarkStart w:id="0" w:name="_Toc63319815"/>
      <w:bookmarkStart w:id="1" w:name="_Toc59025474"/>
      <w:bookmarkStart w:id="2" w:name="_Toc47536733"/>
      <w:bookmarkStart w:id="3" w:name="_Toc49842829"/>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542559">
        <w:rPr>
          <w:rFonts w:eastAsia="Times New Roman" w:cs="Arial"/>
          <w:b/>
          <w:snapToGrid w:val="0"/>
          <w:sz w:val="36"/>
          <w:szCs w:val="36"/>
          <w:lang w:eastAsia="en-US"/>
        </w:rPr>
        <w:t>Summary of the Risk Assessment and Risk Management Plan</w:t>
      </w:r>
      <w:bookmarkEnd w:id="0"/>
    </w:p>
    <w:p w14:paraId="12C092F9" w14:textId="77777777" w:rsidR="00542559" w:rsidRPr="00542559" w:rsidRDefault="00542559" w:rsidP="00542559">
      <w:pPr>
        <w:keepNext/>
        <w:jc w:val="center"/>
        <w:rPr>
          <w:rFonts w:eastAsia="Times New Roman" w:cs="Arial"/>
          <w:b/>
          <w:bCs/>
          <w:kern w:val="32"/>
          <w:sz w:val="28"/>
          <w:szCs w:val="28"/>
          <w:lang w:eastAsia="en-US"/>
        </w:rPr>
      </w:pPr>
      <w:r w:rsidRPr="00542559">
        <w:rPr>
          <w:rFonts w:eastAsia="Times New Roman" w:cs="Arial"/>
          <w:b/>
          <w:bCs/>
          <w:kern w:val="32"/>
          <w:sz w:val="28"/>
          <w:szCs w:val="28"/>
          <w:lang w:eastAsia="en-US"/>
        </w:rPr>
        <w:t>for</w:t>
      </w:r>
    </w:p>
    <w:p w14:paraId="00D318BA" w14:textId="623B7188" w:rsidR="00542559" w:rsidRPr="00542559" w:rsidRDefault="00542559" w:rsidP="00542559">
      <w:pPr>
        <w:keepNext/>
        <w:jc w:val="center"/>
        <w:rPr>
          <w:rFonts w:eastAsia="Times New Roman" w:cs="Arial"/>
          <w:b/>
          <w:bCs/>
          <w:kern w:val="32"/>
          <w:sz w:val="36"/>
          <w:szCs w:val="36"/>
          <w:lang w:eastAsia="en-US"/>
        </w:rPr>
      </w:pPr>
      <w:r w:rsidRPr="00542559">
        <w:rPr>
          <w:rFonts w:eastAsia="Times New Roman" w:cs="Arial"/>
          <w:b/>
          <w:bCs/>
          <w:kern w:val="32"/>
          <w:sz w:val="36"/>
          <w:szCs w:val="36"/>
          <w:lang w:eastAsia="en-US"/>
        </w:rPr>
        <w:t>Licence Application DIR 1</w:t>
      </w:r>
      <w:r w:rsidR="00B62DFD">
        <w:rPr>
          <w:rFonts w:eastAsia="Times New Roman" w:cs="Arial"/>
          <w:b/>
          <w:bCs/>
          <w:kern w:val="32"/>
          <w:sz w:val="36"/>
          <w:szCs w:val="36"/>
          <w:lang w:eastAsia="en-US"/>
        </w:rPr>
        <w:t>8</w:t>
      </w:r>
      <w:r w:rsidR="001E6DF5">
        <w:rPr>
          <w:rFonts w:eastAsia="Times New Roman" w:cs="Arial"/>
          <w:b/>
          <w:bCs/>
          <w:kern w:val="32"/>
          <w:sz w:val="36"/>
          <w:szCs w:val="36"/>
          <w:lang w:eastAsia="en-US"/>
        </w:rPr>
        <w:t>9</w:t>
      </w:r>
    </w:p>
    <w:p w14:paraId="360C37C0" w14:textId="77777777" w:rsidR="00B62DFD" w:rsidRPr="00B13185" w:rsidRDefault="00B62DFD" w:rsidP="00B62DFD">
      <w:pPr>
        <w:pStyle w:val="Heading1"/>
      </w:pPr>
      <w:bookmarkStart w:id="12" w:name="_Toc106180667"/>
      <w:bookmarkStart w:id="13" w:name="_Toc427320058"/>
      <w:r w:rsidRPr="003870AC">
        <w:rPr>
          <w:rFonts w:cs="Calibri"/>
        </w:rPr>
        <w:t>Decision</w:t>
      </w:r>
      <w:bookmarkEnd w:id="12"/>
    </w:p>
    <w:p w14:paraId="0DC39B44" w14:textId="77777777" w:rsidR="00B62DFD" w:rsidRDefault="00B62DFD" w:rsidP="00B62DFD">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A8181C">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proposed field </w:t>
      </w:r>
      <w:r w:rsidRPr="001C0164">
        <w:t>trial poses negligible risks to human health</w:t>
      </w:r>
      <w:r>
        <w:t xml:space="preserve"> and safety and the environment and that any risks posed by the dealings can be managed by imposing conditions on the release.</w:t>
      </w:r>
    </w:p>
    <w:p w14:paraId="48FE6F4E" w14:textId="77777777" w:rsidR="001E6DF5" w:rsidRPr="002E35E7" w:rsidRDefault="001E6DF5" w:rsidP="001E6DF5">
      <w:pPr>
        <w:pStyle w:val="Heading1"/>
        <w:rPr>
          <w:rFonts w:cstheme="minorHAnsi"/>
        </w:rPr>
      </w:pPr>
      <w:bookmarkStart w:id="14" w:name="_Toc66448594"/>
      <w:r w:rsidRPr="002E35E7">
        <w:rPr>
          <w:rFonts w:cstheme="minorHAnsi"/>
        </w:rPr>
        <w:t>The application</w:t>
      </w:r>
      <w:bookmarkEnd w:id="13"/>
      <w:bookmarkEnd w:id="14"/>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6494"/>
      </w:tblGrid>
      <w:tr w:rsidR="00B62DFD" w:rsidRPr="002E4447" w14:paraId="08CA735F" w14:textId="77777777" w:rsidTr="00644EC9">
        <w:tc>
          <w:tcPr>
            <w:tcW w:w="2681" w:type="dxa"/>
          </w:tcPr>
          <w:p w14:paraId="3CE48799" w14:textId="77777777" w:rsidR="00B62DFD" w:rsidRPr="00FC165C" w:rsidRDefault="00B62DFD" w:rsidP="00644EC9">
            <w:pPr>
              <w:pStyle w:val="LEFTLIST"/>
              <w:keepNext w:val="0"/>
              <w:widowControl w:val="0"/>
              <w:spacing w:before="40"/>
              <w:rPr>
                <w:rFonts w:asciiTheme="minorHAnsi" w:hAnsiTheme="minorHAnsi" w:cstheme="minorHAnsi"/>
                <w:i w:val="0"/>
              </w:rPr>
            </w:pPr>
            <w:r w:rsidRPr="00FC165C">
              <w:rPr>
                <w:rFonts w:asciiTheme="minorHAnsi" w:hAnsiTheme="minorHAnsi" w:cstheme="minorHAnsi"/>
              </w:rPr>
              <w:t>Project Title</w:t>
            </w:r>
          </w:p>
        </w:tc>
        <w:tc>
          <w:tcPr>
            <w:tcW w:w="6494" w:type="dxa"/>
          </w:tcPr>
          <w:p w14:paraId="2632E00F" w14:textId="77777777" w:rsidR="00B62DFD" w:rsidRPr="00B62DFD" w:rsidRDefault="00B62DFD" w:rsidP="00644EC9">
            <w:pPr>
              <w:pStyle w:val="RIGHTLIST"/>
              <w:widowControl w:val="0"/>
              <w:spacing w:before="40"/>
              <w:rPr>
                <w:rFonts w:asciiTheme="minorHAnsi" w:hAnsiTheme="minorHAnsi" w:cstheme="minorHAnsi"/>
                <w:i w:val="0"/>
                <w:iCs/>
              </w:rPr>
            </w:pPr>
            <w:r w:rsidRPr="00B62DFD">
              <w:rPr>
                <w:rFonts w:asciiTheme="minorHAnsi" w:hAnsiTheme="minorHAnsi" w:cstheme="minorHAnsi"/>
                <w:i w:val="0"/>
                <w:iCs/>
              </w:rPr>
              <w:t>Limited and controlled release of sorghum genetically modified for asexual seed formation</w:t>
            </w:r>
            <w:bookmarkStart w:id="15" w:name="_Ref63860401"/>
            <w:r w:rsidRPr="00B62DFD">
              <w:rPr>
                <w:rStyle w:val="FootnoteReference"/>
                <w:rFonts w:asciiTheme="minorHAnsi" w:hAnsiTheme="minorHAnsi" w:cstheme="minorHAnsi"/>
                <w:i w:val="0"/>
                <w:iCs/>
              </w:rPr>
              <w:footnoteReference w:id="1"/>
            </w:r>
            <w:bookmarkEnd w:id="15"/>
          </w:p>
        </w:tc>
      </w:tr>
      <w:tr w:rsidR="00B62DFD" w:rsidRPr="002E4447" w14:paraId="1C54AA08" w14:textId="77777777" w:rsidTr="00644EC9">
        <w:trPr>
          <w:trHeight w:val="346"/>
        </w:trPr>
        <w:tc>
          <w:tcPr>
            <w:tcW w:w="2681" w:type="dxa"/>
          </w:tcPr>
          <w:p w14:paraId="59B8C7C5" w14:textId="77777777" w:rsidR="00B62DFD" w:rsidRPr="00FC165C" w:rsidRDefault="00B62DFD" w:rsidP="00644EC9">
            <w:pPr>
              <w:pStyle w:val="LEFTLIST"/>
              <w:keepNext w:val="0"/>
              <w:widowControl w:val="0"/>
              <w:spacing w:before="40"/>
              <w:rPr>
                <w:rFonts w:asciiTheme="minorHAnsi" w:hAnsiTheme="minorHAnsi" w:cstheme="minorHAnsi"/>
                <w:i w:val="0"/>
              </w:rPr>
            </w:pPr>
            <w:r w:rsidRPr="00FC165C">
              <w:rPr>
                <w:rFonts w:asciiTheme="minorHAnsi" w:hAnsiTheme="minorHAnsi" w:cstheme="minorHAnsi"/>
              </w:rPr>
              <w:t>Parent organism</w:t>
            </w:r>
          </w:p>
        </w:tc>
        <w:tc>
          <w:tcPr>
            <w:tcW w:w="6494" w:type="dxa"/>
          </w:tcPr>
          <w:p w14:paraId="20D4BC9D" w14:textId="77777777" w:rsidR="00B62DFD" w:rsidRPr="00B62DFD" w:rsidRDefault="00B62DFD" w:rsidP="00644EC9">
            <w:pPr>
              <w:pStyle w:val="RIGHTLIST"/>
              <w:widowControl w:val="0"/>
              <w:spacing w:before="40"/>
              <w:rPr>
                <w:rFonts w:asciiTheme="minorHAnsi" w:hAnsiTheme="minorHAnsi" w:cstheme="minorHAnsi"/>
                <w:i w:val="0"/>
                <w:iCs/>
              </w:rPr>
            </w:pPr>
            <w:r w:rsidRPr="00B62DFD">
              <w:rPr>
                <w:rFonts w:asciiTheme="minorHAnsi" w:hAnsiTheme="minorHAnsi" w:cstheme="minorHAnsi"/>
                <w:i w:val="0"/>
                <w:iCs/>
              </w:rPr>
              <w:t>Sorghum (</w:t>
            </w:r>
            <w:r w:rsidRPr="00B62DFD">
              <w:rPr>
                <w:rFonts w:asciiTheme="minorHAnsi" w:hAnsiTheme="minorHAnsi" w:cstheme="minorHAnsi"/>
              </w:rPr>
              <w:t xml:space="preserve">Sorghum </w:t>
            </w:r>
            <w:proofErr w:type="spellStart"/>
            <w:r w:rsidRPr="00B62DFD">
              <w:rPr>
                <w:rFonts w:asciiTheme="minorHAnsi" w:hAnsiTheme="minorHAnsi" w:cstheme="minorHAnsi"/>
              </w:rPr>
              <w:t>bicolor</w:t>
            </w:r>
            <w:proofErr w:type="spellEnd"/>
            <w:r w:rsidRPr="00B62DFD">
              <w:rPr>
                <w:rFonts w:asciiTheme="minorHAnsi" w:hAnsiTheme="minorHAnsi" w:cstheme="minorHAnsi"/>
                <w:i w:val="0"/>
                <w:iCs/>
              </w:rPr>
              <w:t>)</w:t>
            </w:r>
          </w:p>
        </w:tc>
      </w:tr>
      <w:tr w:rsidR="00B62DFD" w:rsidRPr="002E4447" w14:paraId="149DF0E8" w14:textId="77777777" w:rsidTr="00644EC9">
        <w:tc>
          <w:tcPr>
            <w:tcW w:w="9175" w:type="dxa"/>
            <w:gridSpan w:val="2"/>
          </w:tcPr>
          <w:p w14:paraId="770BA3F5" w14:textId="77777777" w:rsidR="00B62DFD" w:rsidRPr="00FC165C" w:rsidRDefault="00B62DFD" w:rsidP="00644EC9">
            <w:pPr>
              <w:pStyle w:val="RIGHTLIST"/>
              <w:autoSpaceDE w:val="0"/>
              <w:autoSpaceDN w:val="0"/>
              <w:spacing w:before="40"/>
              <w:rPr>
                <w:rFonts w:asciiTheme="minorHAnsi" w:hAnsiTheme="minorHAnsi" w:cstheme="minorHAnsi"/>
                <w:b/>
                <w:i w:val="0"/>
              </w:rPr>
            </w:pPr>
            <w:r w:rsidRPr="00FC165C">
              <w:rPr>
                <w:rFonts w:asciiTheme="minorHAnsi" w:hAnsiTheme="minorHAnsi" w:cstheme="minorHAnsi"/>
                <w:b/>
              </w:rPr>
              <w:t>Genetic modifications</w:t>
            </w:r>
          </w:p>
        </w:tc>
      </w:tr>
      <w:tr w:rsidR="00B62DFD" w:rsidRPr="002E4447" w14:paraId="560CFBD3" w14:textId="77777777" w:rsidTr="00644EC9">
        <w:trPr>
          <w:trHeight w:val="708"/>
        </w:trPr>
        <w:tc>
          <w:tcPr>
            <w:tcW w:w="2681" w:type="dxa"/>
          </w:tcPr>
          <w:p w14:paraId="0A2FB459"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Introduced genes and modified traits:</w:t>
            </w:r>
          </w:p>
        </w:tc>
        <w:tc>
          <w:tcPr>
            <w:tcW w:w="6494" w:type="dxa"/>
          </w:tcPr>
          <w:p w14:paraId="6326796B" w14:textId="77777777" w:rsidR="00B62DFD" w:rsidRPr="00B62DFD" w:rsidRDefault="00B62DFD" w:rsidP="00644EC9">
            <w:pPr>
              <w:pStyle w:val="RIGHTLIST"/>
              <w:keepNext w:val="0"/>
              <w:widowControl w:val="0"/>
              <w:spacing w:before="40"/>
              <w:rPr>
                <w:rFonts w:asciiTheme="minorHAnsi" w:hAnsiTheme="minorHAnsi" w:cstheme="minorHAnsi"/>
                <w:i w:val="0"/>
                <w:iCs/>
              </w:rPr>
            </w:pPr>
            <w:r w:rsidRPr="00B62DFD">
              <w:rPr>
                <w:rFonts w:asciiTheme="minorHAnsi" w:hAnsiTheme="minorHAnsi" w:cstheme="minorHAnsi"/>
                <w:i w:val="0"/>
                <w:iCs/>
              </w:rPr>
              <w:t>Expression of a grass gene</w:t>
            </w:r>
            <w:r w:rsidRPr="00B62DFD">
              <w:rPr>
                <w:rStyle w:val="FootnoteReference"/>
                <w:rFonts w:asciiTheme="minorHAnsi" w:hAnsiTheme="minorHAnsi" w:cstheme="minorHAnsi"/>
                <w:i w:val="0"/>
                <w:iCs/>
              </w:rPr>
              <w:footnoteReference w:id="2"/>
            </w:r>
            <w:r w:rsidRPr="00B62DFD">
              <w:rPr>
                <w:rFonts w:asciiTheme="minorHAnsi" w:hAnsiTheme="minorHAnsi" w:cstheme="minorHAnsi"/>
                <w:i w:val="0"/>
                <w:iCs/>
              </w:rPr>
              <w:t xml:space="preserve"> involved in altering the reproduction mode of sorghum from sexual to asexual</w:t>
            </w:r>
          </w:p>
        </w:tc>
      </w:tr>
      <w:tr w:rsidR="00B62DFD" w:rsidRPr="00326E42" w14:paraId="15A4A3E4" w14:textId="77777777" w:rsidTr="00644EC9">
        <w:tc>
          <w:tcPr>
            <w:tcW w:w="2681" w:type="dxa"/>
          </w:tcPr>
          <w:p w14:paraId="4B25B474"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Genetic modification method</w:t>
            </w:r>
          </w:p>
        </w:tc>
        <w:tc>
          <w:tcPr>
            <w:tcW w:w="6494" w:type="dxa"/>
          </w:tcPr>
          <w:p w14:paraId="0088A813" w14:textId="77777777" w:rsidR="00B62DFD" w:rsidRPr="00FC165C" w:rsidRDefault="00B62DFD" w:rsidP="00B62DFD">
            <w:pPr>
              <w:pStyle w:val="Para"/>
              <w:numPr>
                <w:ilvl w:val="0"/>
                <w:numId w:val="0"/>
              </w:numPr>
              <w:spacing w:before="40" w:after="40"/>
              <w:rPr>
                <w:rFonts w:asciiTheme="minorHAnsi" w:hAnsiTheme="minorHAnsi" w:cstheme="minorHAnsi"/>
                <w:sz w:val="22"/>
                <w:szCs w:val="22"/>
              </w:rPr>
            </w:pPr>
            <w:r w:rsidRPr="00FC165C">
              <w:rPr>
                <w:rFonts w:asciiTheme="minorHAnsi" w:hAnsiTheme="minorHAnsi" w:cstheme="minorHAnsi"/>
                <w:i/>
                <w:iCs/>
                <w:sz w:val="22"/>
                <w:szCs w:val="22"/>
              </w:rPr>
              <w:t>Agrobacterium</w:t>
            </w:r>
            <w:r w:rsidRPr="00FC165C">
              <w:rPr>
                <w:rFonts w:asciiTheme="minorHAnsi" w:hAnsiTheme="minorHAnsi" w:cstheme="minorHAnsi"/>
                <w:sz w:val="22"/>
                <w:szCs w:val="22"/>
              </w:rPr>
              <w:t>-mediated</w:t>
            </w:r>
          </w:p>
        </w:tc>
      </w:tr>
      <w:tr w:rsidR="00B62DFD" w:rsidRPr="00326E42" w14:paraId="5AB0FF94" w14:textId="77777777" w:rsidTr="00644EC9">
        <w:tc>
          <w:tcPr>
            <w:tcW w:w="2681" w:type="dxa"/>
          </w:tcPr>
          <w:p w14:paraId="68302424"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Number of lines</w:t>
            </w:r>
          </w:p>
        </w:tc>
        <w:tc>
          <w:tcPr>
            <w:tcW w:w="6494" w:type="dxa"/>
          </w:tcPr>
          <w:p w14:paraId="19E754E8" w14:textId="77777777" w:rsidR="00B62DFD" w:rsidRPr="00B62DFD" w:rsidRDefault="00B62DFD" w:rsidP="00644EC9">
            <w:pPr>
              <w:pStyle w:val="RIGHTLIST"/>
              <w:keepNext w:val="0"/>
              <w:widowControl w:val="0"/>
              <w:spacing w:before="40"/>
              <w:rPr>
                <w:rFonts w:asciiTheme="minorHAnsi" w:hAnsiTheme="minorHAnsi" w:cstheme="minorHAnsi"/>
                <w:i w:val="0"/>
                <w:iCs/>
              </w:rPr>
            </w:pPr>
            <w:bookmarkStart w:id="16" w:name="_Hlk90387191"/>
            <w:r w:rsidRPr="00B62DFD">
              <w:rPr>
                <w:rFonts w:asciiTheme="minorHAnsi" w:hAnsiTheme="minorHAnsi" w:cstheme="minorHAnsi"/>
                <w:i w:val="0"/>
                <w:iCs/>
              </w:rPr>
              <w:t xml:space="preserve">Up to 10 independent lines of </w:t>
            </w:r>
            <w:proofErr w:type="gramStart"/>
            <w:r w:rsidRPr="00B62DFD">
              <w:rPr>
                <w:rFonts w:asciiTheme="minorHAnsi" w:hAnsiTheme="minorHAnsi" w:cstheme="minorHAnsi"/>
                <w:i w:val="0"/>
                <w:iCs/>
              </w:rPr>
              <w:t>a number of</w:t>
            </w:r>
            <w:proofErr w:type="gramEnd"/>
            <w:r w:rsidRPr="00B62DFD">
              <w:rPr>
                <w:rFonts w:asciiTheme="minorHAnsi" w:hAnsiTheme="minorHAnsi" w:cstheme="minorHAnsi"/>
                <w:i w:val="0"/>
                <w:iCs/>
              </w:rPr>
              <w:t xml:space="preserve"> sorghum cultivars</w:t>
            </w:r>
            <w:bookmarkEnd w:id="16"/>
          </w:p>
        </w:tc>
      </w:tr>
      <w:tr w:rsidR="00B62DFD" w:rsidRPr="002E4447" w14:paraId="216BB0BC" w14:textId="77777777" w:rsidTr="00644EC9">
        <w:tc>
          <w:tcPr>
            <w:tcW w:w="2681" w:type="dxa"/>
          </w:tcPr>
          <w:p w14:paraId="5349AC8D" w14:textId="77777777" w:rsidR="00B62DFD" w:rsidRPr="004C0DFA" w:rsidRDefault="00B62DFD" w:rsidP="00644EC9">
            <w:pPr>
              <w:autoSpaceDE w:val="0"/>
              <w:autoSpaceDN w:val="0"/>
              <w:adjustRightInd w:val="0"/>
              <w:spacing w:before="40" w:after="40"/>
              <w:rPr>
                <w:rFonts w:asciiTheme="minorHAnsi" w:hAnsiTheme="minorHAnsi" w:cstheme="minorHAnsi"/>
                <w:b/>
                <w:bCs/>
                <w:i/>
              </w:rPr>
            </w:pPr>
            <w:r w:rsidRPr="004C0DFA">
              <w:rPr>
                <w:rFonts w:asciiTheme="minorHAnsi" w:hAnsiTheme="minorHAnsi" w:cstheme="minorHAnsi"/>
                <w:b/>
                <w:bCs/>
                <w:i/>
              </w:rPr>
              <w:t xml:space="preserve">Principal </w:t>
            </w:r>
            <w:r w:rsidRPr="004C0DFA">
              <w:rPr>
                <w:rFonts w:asciiTheme="minorHAnsi" w:hAnsiTheme="minorHAnsi" w:cstheme="minorHAnsi"/>
                <w:b/>
                <w:bCs/>
                <w:i/>
                <w:szCs w:val="22"/>
              </w:rPr>
              <w:t>purpose</w:t>
            </w:r>
          </w:p>
        </w:tc>
        <w:tc>
          <w:tcPr>
            <w:tcW w:w="6494" w:type="dxa"/>
          </w:tcPr>
          <w:p w14:paraId="4C6D8A9E" w14:textId="77777777" w:rsidR="00B62DFD" w:rsidRPr="00FC165C" w:rsidRDefault="00B62DFD" w:rsidP="00644EC9">
            <w:pPr>
              <w:autoSpaceDE w:val="0"/>
              <w:autoSpaceDN w:val="0"/>
              <w:adjustRightInd w:val="0"/>
              <w:spacing w:before="40" w:after="40"/>
              <w:rPr>
                <w:rFonts w:asciiTheme="minorHAnsi" w:hAnsiTheme="minorHAnsi" w:cstheme="minorHAnsi"/>
                <w:szCs w:val="22"/>
              </w:rPr>
            </w:pPr>
            <w:r w:rsidRPr="00FC165C">
              <w:rPr>
                <w:rFonts w:asciiTheme="minorHAnsi" w:hAnsiTheme="minorHAnsi" w:cstheme="minorHAnsi"/>
                <w:szCs w:val="22"/>
              </w:rPr>
              <w:t>To assess agronomic characteristics, seed viability, gene persistence, yield and yield components</w:t>
            </w:r>
            <w:r>
              <w:rPr>
                <w:rFonts w:asciiTheme="minorHAnsi" w:hAnsiTheme="minorHAnsi" w:cstheme="minorHAnsi"/>
                <w:szCs w:val="22"/>
              </w:rPr>
              <w:t>,</w:t>
            </w:r>
            <w:r w:rsidRPr="00FC165C">
              <w:rPr>
                <w:rFonts w:asciiTheme="minorHAnsi" w:hAnsiTheme="minorHAnsi" w:cstheme="minorHAnsi"/>
                <w:szCs w:val="22"/>
              </w:rPr>
              <w:t xml:space="preserve"> and grain quality of the GM sorghum plants under field conditions</w:t>
            </w:r>
          </w:p>
        </w:tc>
      </w:tr>
      <w:tr w:rsidR="00B62DFD" w:rsidRPr="002E4447" w14:paraId="3C958612" w14:textId="77777777" w:rsidTr="00644EC9">
        <w:tc>
          <w:tcPr>
            <w:tcW w:w="2681" w:type="dxa"/>
          </w:tcPr>
          <w:p w14:paraId="3B67CDE6" w14:textId="77777777" w:rsidR="00B62DFD" w:rsidRPr="00F74ACE" w:rsidRDefault="00B62DFD" w:rsidP="00644EC9">
            <w:pPr>
              <w:pStyle w:val="LEFTLIST"/>
              <w:keepNext w:val="0"/>
              <w:widowControl w:val="0"/>
              <w:spacing w:before="40"/>
              <w:rPr>
                <w:rFonts w:asciiTheme="minorHAnsi" w:hAnsiTheme="minorHAnsi" w:cstheme="minorHAnsi"/>
                <w:i w:val="0"/>
              </w:rPr>
            </w:pPr>
            <w:r w:rsidRPr="00F74ACE">
              <w:rPr>
                <w:rFonts w:asciiTheme="minorHAnsi" w:hAnsiTheme="minorHAnsi" w:cstheme="minorHAnsi"/>
              </w:rPr>
              <w:t>Previous releases</w:t>
            </w:r>
          </w:p>
        </w:tc>
        <w:tc>
          <w:tcPr>
            <w:tcW w:w="6494" w:type="dxa"/>
          </w:tcPr>
          <w:p w14:paraId="1852D3D6" w14:textId="77777777" w:rsidR="00B62DFD" w:rsidRPr="00B62DFD" w:rsidRDefault="00B62DFD" w:rsidP="00644EC9">
            <w:pPr>
              <w:pStyle w:val="RIGHTLIST"/>
              <w:widowControl w:val="0"/>
              <w:spacing w:before="40"/>
              <w:rPr>
                <w:rFonts w:asciiTheme="minorHAnsi" w:hAnsiTheme="minorHAnsi" w:cstheme="minorHAnsi"/>
                <w:i w:val="0"/>
                <w:iCs/>
              </w:rPr>
            </w:pPr>
            <w:r w:rsidRPr="00B62DFD">
              <w:rPr>
                <w:rFonts w:asciiTheme="minorHAnsi" w:hAnsiTheme="minorHAnsi" w:cstheme="minorHAnsi"/>
                <w:i w:val="0"/>
                <w:iCs/>
              </w:rPr>
              <w:t>There have been no previous releases of the GMOs</w:t>
            </w:r>
          </w:p>
        </w:tc>
      </w:tr>
      <w:tr w:rsidR="00B62DFD" w:rsidRPr="002E4447" w14:paraId="2AB8911F" w14:textId="77777777" w:rsidTr="00644EC9">
        <w:tc>
          <w:tcPr>
            <w:tcW w:w="9175" w:type="dxa"/>
            <w:gridSpan w:val="2"/>
          </w:tcPr>
          <w:p w14:paraId="4F452566" w14:textId="77777777" w:rsidR="00B62DFD" w:rsidRPr="00F74ACE" w:rsidRDefault="00B62DFD" w:rsidP="00644EC9">
            <w:pPr>
              <w:pStyle w:val="RIGHTLIST"/>
              <w:keepNext w:val="0"/>
              <w:widowControl w:val="0"/>
              <w:spacing w:before="40"/>
              <w:rPr>
                <w:rFonts w:asciiTheme="minorHAnsi" w:hAnsiTheme="minorHAnsi" w:cstheme="minorHAnsi"/>
                <w:b/>
                <w:i w:val="0"/>
              </w:rPr>
            </w:pPr>
            <w:r w:rsidRPr="00F74ACE">
              <w:rPr>
                <w:rFonts w:asciiTheme="minorHAnsi" w:hAnsiTheme="minorHAnsi" w:cstheme="minorHAnsi"/>
                <w:b/>
              </w:rPr>
              <w:t>Proposed limits</w:t>
            </w:r>
          </w:p>
        </w:tc>
      </w:tr>
      <w:tr w:rsidR="00B62DFD" w:rsidRPr="005625E4" w14:paraId="070A6F93" w14:textId="77777777" w:rsidTr="00644EC9">
        <w:tc>
          <w:tcPr>
            <w:tcW w:w="2681" w:type="dxa"/>
          </w:tcPr>
          <w:p w14:paraId="05A42EA7"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Proposed use of GM plants</w:t>
            </w:r>
          </w:p>
        </w:tc>
        <w:tc>
          <w:tcPr>
            <w:tcW w:w="6494" w:type="dxa"/>
          </w:tcPr>
          <w:p w14:paraId="069E6EB9" w14:textId="77777777" w:rsidR="00B62DFD" w:rsidRPr="00B62DFD" w:rsidRDefault="00B62DFD" w:rsidP="00644EC9">
            <w:pPr>
              <w:pStyle w:val="RIGHTLIST"/>
              <w:keepNext w:val="0"/>
              <w:widowControl w:val="0"/>
              <w:spacing w:before="40"/>
              <w:rPr>
                <w:rFonts w:asciiTheme="minorHAnsi" w:hAnsiTheme="minorHAnsi" w:cstheme="minorHAnsi"/>
                <w:i w:val="0"/>
                <w:iCs/>
              </w:rPr>
            </w:pPr>
            <w:r w:rsidRPr="00B62DFD">
              <w:rPr>
                <w:rFonts w:asciiTheme="minorHAnsi" w:hAnsiTheme="minorHAnsi" w:cstheme="minorHAnsi"/>
                <w:i w:val="0"/>
                <w:iCs/>
              </w:rPr>
              <w:t>No use in human food or animal feed is proposed</w:t>
            </w:r>
          </w:p>
        </w:tc>
      </w:tr>
      <w:tr w:rsidR="00B62DFD" w:rsidRPr="002E4447" w14:paraId="57FCC3E5" w14:textId="77777777" w:rsidTr="00644EC9">
        <w:tc>
          <w:tcPr>
            <w:tcW w:w="2681" w:type="dxa"/>
          </w:tcPr>
          <w:p w14:paraId="36670F01"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Proposed location</w:t>
            </w:r>
          </w:p>
        </w:tc>
        <w:tc>
          <w:tcPr>
            <w:tcW w:w="6494" w:type="dxa"/>
          </w:tcPr>
          <w:p w14:paraId="2AB76079" w14:textId="77777777" w:rsidR="00B62DFD" w:rsidRPr="00B62DFD" w:rsidRDefault="00B62DFD" w:rsidP="00644EC9">
            <w:pPr>
              <w:pStyle w:val="RIGHTLIST"/>
              <w:keepNext w:val="0"/>
              <w:widowControl w:val="0"/>
              <w:spacing w:before="40"/>
              <w:rPr>
                <w:rFonts w:asciiTheme="minorHAnsi" w:hAnsiTheme="minorHAnsi" w:cstheme="minorHAnsi"/>
                <w:i w:val="0"/>
                <w:iCs/>
              </w:rPr>
            </w:pPr>
            <w:r w:rsidRPr="00B62DFD">
              <w:rPr>
                <w:rFonts w:asciiTheme="minorHAnsi" w:hAnsiTheme="minorHAnsi" w:cstheme="minorHAnsi"/>
                <w:i w:val="0"/>
                <w:iCs/>
              </w:rPr>
              <w:t xml:space="preserve">University of Queensland’s Gatton Campus - Crop Research Unit </w:t>
            </w:r>
          </w:p>
        </w:tc>
      </w:tr>
      <w:tr w:rsidR="00B62DFD" w:rsidRPr="005625E4" w14:paraId="36E0F5E7" w14:textId="77777777" w:rsidTr="00644EC9">
        <w:tc>
          <w:tcPr>
            <w:tcW w:w="2681" w:type="dxa"/>
          </w:tcPr>
          <w:p w14:paraId="16F3FC0A"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Proposed release size</w:t>
            </w:r>
          </w:p>
        </w:tc>
        <w:tc>
          <w:tcPr>
            <w:tcW w:w="6494" w:type="dxa"/>
          </w:tcPr>
          <w:p w14:paraId="2918C8ED" w14:textId="77777777" w:rsidR="00B62DFD" w:rsidRPr="00B62DFD" w:rsidRDefault="00B62DFD" w:rsidP="00644EC9">
            <w:pPr>
              <w:pStyle w:val="RIGHTLIST"/>
              <w:keepNext w:val="0"/>
              <w:widowControl w:val="0"/>
              <w:spacing w:before="40"/>
              <w:rPr>
                <w:rFonts w:asciiTheme="minorHAnsi" w:hAnsiTheme="minorHAnsi" w:cstheme="minorHAnsi"/>
                <w:i w:val="0"/>
                <w:iCs/>
              </w:rPr>
            </w:pPr>
            <w:r w:rsidRPr="00B62DFD">
              <w:rPr>
                <w:rFonts w:asciiTheme="minorHAnsi" w:hAnsiTheme="minorHAnsi" w:cstheme="minorHAnsi"/>
                <w:i w:val="0"/>
                <w:iCs/>
              </w:rPr>
              <w:t xml:space="preserve">Up to 1 ha per year </w:t>
            </w:r>
          </w:p>
        </w:tc>
      </w:tr>
      <w:tr w:rsidR="00B62DFD" w:rsidRPr="005625E4" w14:paraId="183ACDF9" w14:textId="77777777" w:rsidTr="00644EC9">
        <w:tc>
          <w:tcPr>
            <w:tcW w:w="2681" w:type="dxa"/>
          </w:tcPr>
          <w:p w14:paraId="6F467588" w14:textId="77777777" w:rsidR="00B62DFD" w:rsidRPr="00B62DFD" w:rsidRDefault="00B62DFD" w:rsidP="00644EC9">
            <w:pPr>
              <w:pStyle w:val="LEFTLIST"/>
              <w:keepNext w:val="0"/>
              <w:widowControl w:val="0"/>
              <w:spacing w:before="40"/>
              <w:rPr>
                <w:rFonts w:asciiTheme="minorHAnsi" w:hAnsiTheme="minorHAnsi" w:cstheme="minorHAnsi"/>
                <w:b w:val="0"/>
                <w:i w:val="0"/>
                <w:iCs/>
              </w:rPr>
            </w:pPr>
            <w:r w:rsidRPr="00B62DFD">
              <w:rPr>
                <w:rFonts w:asciiTheme="minorHAnsi" w:hAnsiTheme="minorHAnsi" w:cstheme="minorHAnsi"/>
                <w:b w:val="0"/>
                <w:i w:val="0"/>
                <w:iCs/>
              </w:rPr>
              <w:t>Proposed period of release</w:t>
            </w:r>
          </w:p>
        </w:tc>
        <w:tc>
          <w:tcPr>
            <w:tcW w:w="6494" w:type="dxa"/>
          </w:tcPr>
          <w:p w14:paraId="7D17E1B5" w14:textId="77777777" w:rsidR="00B62DFD" w:rsidRPr="00B62DFD" w:rsidRDefault="00B62DFD" w:rsidP="00644EC9">
            <w:pPr>
              <w:pStyle w:val="RIGHTLIST"/>
              <w:keepNext w:val="0"/>
              <w:widowControl w:val="0"/>
              <w:spacing w:before="40"/>
              <w:rPr>
                <w:rFonts w:asciiTheme="minorHAnsi" w:hAnsiTheme="minorHAnsi" w:cstheme="minorHAnsi"/>
                <w:i w:val="0"/>
                <w:iCs/>
              </w:rPr>
            </w:pPr>
            <w:r w:rsidRPr="00B62DFD">
              <w:rPr>
                <w:rFonts w:asciiTheme="minorHAnsi" w:hAnsiTheme="minorHAnsi" w:cstheme="minorHAnsi"/>
                <w:i w:val="0"/>
                <w:iCs/>
              </w:rPr>
              <w:t>From September 2022 to June 2025</w:t>
            </w:r>
          </w:p>
        </w:tc>
      </w:tr>
    </w:tbl>
    <w:p w14:paraId="43C90EB0" w14:textId="0297895C" w:rsidR="00B62DFD" w:rsidRDefault="00B62DFD">
      <w:pPr>
        <w:sectPr w:rsidR="00B62DFD" w:rsidSect="00060E93">
          <w:headerReference w:type="first" r:id="rId8"/>
          <w:footerReference w:type="first" r:id="rId9"/>
          <w:pgSz w:w="11909" w:h="16834" w:code="9"/>
          <w:pgMar w:top="1418" w:right="1134" w:bottom="1134" w:left="1134" w:header="567" w:footer="567" w:gutter="0"/>
          <w:pgNumType w:fmt="upperRoman" w:start="1"/>
          <w:cols w:space="720"/>
          <w:titlePg/>
          <w:docGrid w:linePitch="299"/>
        </w:sectPr>
      </w:pPr>
    </w:p>
    <w:p w14:paraId="1345613D" w14:textId="77777777" w:rsidR="001E6DF5" w:rsidRPr="003A791E" w:rsidRDefault="001E6DF5" w:rsidP="001E6DF5">
      <w:pPr>
        <w:pStyle w:val="Heading1"/>
        <w:rPr>
          <w:rFonts w:eastAsia="SimSun"/>
        </w:rPr>
      </w:pPr>
      <w:bookmarkStart w:id="17" w:name="_Toc66448595"/>
      <w:bookmarkStart w:id="18" w:name="_Toc209859549"/>
      <w:bookmarkStart w:id="19" w:name="_Toc274904728"/>
      <w:bookmarkStart w:id="20" w:name="_Toc291151778"/>
      <w:bookmarkStart w:id="21" w:name="_Toc355007997"/>
      <w:bookmarkStart w:id="22" w:name="_Toc465862036"/>
      <w:bookmarkStart w:id="23" w:name="_Toc466627806"/>
      <w:r w:rsidRPr="003A791E">
        <w:rPr>
          <w:rFonts w:eastAsia="SimSun"/>
        </w:rPr>
        <w:lastRenderedPageBreak/>
        <w:t>Risk assessment</w:t>
      </w:r>
      <w:bookmarkEnd w:id="17"/>
    </w:p>
    <w:p w14:paraId="01D6888F" w14:textId="77777777" w:rsidR="00B62DFD" w:rsidRPr="001C0164" w:rsidRDefault="00B62DFD" w:rsidP="00B62DFD">
      <w:bookmarkStart w:id="24" w:name="_Toc66448596"/>
      <w:r w:rsidRPr="00E32F0E">
        <w:t>The risk assessment concludes that risks to the health and safety of people or the environment from the</w:t>
      </w:r>
      <w:r>
        <w:t xml:space="preserve"> proposed dealings </w:t>
      </w:r>
      <w:r w:rsidRPr="00D66BDF">
        <w:t xml:space="preserve">are </w:t>
      </w:r>
      <w:r w:rsidRPr="001C0164">
        <w:t xml:space="preserve">negligible. No </w:t>
      </w:r>
      <w:r w:rsidRPr="001C0164">
        <w:rPr>
          <w:szCs w:val="22"/>
        </w:rPr>
        <w:t>specific risk treatment measures are required to manage these negligible</w:t>
      </w:r>
      <w:r w:rsidRPr="001C0164">
        <w:t xml:space="preserve"> </w:t>
      </w:r>
      <w:r w:rsidRPr="001C0164">
        <w:rPr>
          <w:szCs w:val="22"/>
        </w:rPr>
        <w:t>risks.</w:t>
      </w:r>
    </w:p>
    <w:p w14:paraId="1E419005" w14:textId="77777777" w:rsidR="00B62DFD" w:rsidRDefault="00B62DFD" w:rsidP="00B62DFD">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short- and long-term risks are considered.</w:t>
      </w:r>
    </w:p>
    <w:p w14:paraId="543EE0E4" w14:textId="77777777" w:rsidR="00B62DFD" w:rsidRPr="001C0164" w:rsidRDefault="00B62DFD" w:rsidP="00B62DFD">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sorghum</w:t>
      </w:r>
      <w:r w:rsidRPr="001C0164">
        <w:t xml:space="preserve"> plants. Potential harms associated with these pathways included toxicity or allergenicity to people, toxicity to desirable animals, and environmental harms due to weediness.</w:t>
      </w:r>
    </w:p>
    <w:p w14:paraId="0B4669D7" w14:textId="77777777" w:rsidR="00B62DFD" w:rsidRPr="00E32F0E" w:rsidRDefault="00B62DFD" w:rsidP="00B62DFD">
      <w:r w:rsidRPr="00D66BDF">
        <w:t>The principal r</w:t>
      </w:r>
      <w:r w:rsidRPr="00E32F0E">
        <w:t xml:space="preserve">easons for the conclusion of </w:t>
      </w:r>
      <w:r w:rsidRPr="00E32F0E">
        <w:rPr>
          <w:color w:val="000000" w:themeColor="text1"/>
        </w:rPr>
        <w:t>negligible</w:t>
      </w:r>
      <w:r w:rsidRPr="00E32F0E">
        <w:rPr>
          <w:color w:val="00B0F0"/>
        </w:rPr>
        <w:t xml:space="preserve"> </w:t>
      </w:r>
      <w:r w:rsidRPr="00E32F0E">
        <w:t xml:space="preserve">risks are that the proposed limits and controls, such as not using GM plant material in food or animal feed, will effectively minimise exposure to the GMOs. In addition, there is no evidence to suggest the introduced genetic modifications would lead to harm to people or the environment. </w:t>
      </w:r>
    </w:p>
    <w:p w14:paraId="6AAF66AA" w14:textId="77777777" w:rsidR="001E6DF5" w:rsidRPr="00961290" w:rsidRDefault="001E6DF5" w:rsidP="001E6DF5">
      <w:pPr>
        <w:pStyle w:val="Heading1"/>
        <w:rPr>
          <w:rFonts w:eastAsia="SimSun"/>
        </w:rPr>
      </w:pPr>
      <w:r w:rsidRPr="00961290">
        <w:rPr>
          <w:rFonts w:eastAsia="SimSun"/>
        </w:rPr>
        <w:t>Risk management</w:t>
      </w:r>
      <w:bookmarkEnd w:id="18"/>
      <w:r w:rsidRPr="00961290">
        <w:rPr>
          <w:rFonts w:eastAsia="SimSun"/>
        </w:rPr>
        <w:t xml:space="preserve"> plan</w:t>
      </w:r>
      <w:bookmarkEnd w:id="19"/>
      <w:bookmarkEnd w:id="20"/>
      <w:bookmarkEnd w:id="21"/>
      <w:bookmarkEnd w:id="22"/>
      <w:bookmarkEnd w:id="23"/>
      <w:bookmarkEnd w:id="24"/>
    </w:p>
    <w:p w14:paraId="082C3E9A" w14:textId="77777777" w:rsidR="00B62DFD" w:rsidRPr="00E32F0E" w:rsidRDefault="00B62DFD" w:rsidP="00B62DFD">
      <w:pPr>
        <w:rPr>
          <w:rFonts w:eastAsia="SimSun"/>
          <w:szCs w:val="22"/>
        </w:rPr>
      </w:pPr>
      <w:r w:rsidRPr="00E32F0E">
        <w:rPr>
          <w:rFonts w:eastAsia="SimSun"/>
          <w:szCs w:val="22"/>
        </w:rPr>
        <w:t>The risk management plan describes measures to protect the health and safety of people and to protect the environment by controlling or mitigating risk. The risk management plan is given effect through licence conditions.</w:t>
      </w:r>
    </w:p>
    <w:p w14:paraId="09ADFF79" w14:textId="246A5571" w:rsidR="001E6DF5" w:rsidRPr="002E35E7" w:rsidRDefault="00B62DFD" w:rsidP="00B62DFD">
      <w:pPr>
        <w:spacing w:after="240"/>
      </w:pPr>
      <w:r w:rsidRPr="00D66BDF">
        <w:t xml:space="preserve">As the level of risk is </w:t>
      </w:r>
      <w:r w:rsidRPr="001C0164">
        <w:t xml:space="preserve">considered negligible, specific risk treatment is not </w:t>
      </w:r>
      <w:r>
        <w:rPr>
          <w:color w:val="000000" w:themeColor="text1"/>
        </w:rPr>
        <w:t>required</w:t>
      </w:r>
      <w:r w:rsidRPr="00C745F5">
        <w:rPr>
          <w:color w:val="000000" w:themeColor="text1"/>
        </w:rPr>
        <w:t xml:space="preserve">. However, </w:t>
      </w:r>
      <w:r w:rsidRPr="00D66BDF">
        <w:t xml:space="preserve">since this is a limited and controlled release, the licence includes limits on the size, </w:t>
      </w:r>
      <w:proofErr w:type="gramStart"/>
      <w:r w:rsidRPr="00D66BDF">
        <w:t>location</w:t>
      </w:r>
      <w:proofErr w:type="gramEnd"/>
      <w:r w:rsidRPr="00D66BDF">
        <w:t xml:space="preserve"> and duration of the release, as well as controls to prohibit the use of GM plant material in human food and animal feed, to minimise dispersal of the GMOs or GM pollen from the trial site, to transport GMOs in accordance with the Regulator’s guidelines, to destr</w:t>
      </w:r>
      <w:r>
        <w:t>oy GMOs at the end of the trial</w:t>
      </w:r>
      <w:r w:rsidRPr="00D66BDF">
        <w:t xml:space="preserve"> and to conduct post-harvest monitoring at the trial site to ensure </w:t>
      </w:r>
      <w:r>
        <w:t>the</w:t>
      </w:r>
      <w:r w:rsidRPr="00D66BDF">
        <w:t xml:space="preserve"> GMOs are destroyed</w:t>
      </w:r>
      <w:r w:rsidR="001E6DF5" w:rsidRPr="002E35E7">
        <w:t>.</w:t>
      </w:r>
    </w:p>
    <w:p w14:paraId="732E8B9D" w14:textId="77777777" w:rsidR="005A4F43" w:rsidRDefault="005A4F43" w:rsidP="001E6DF5">
      <w:pPr>
        <w:rPr>
          <w:rFonts w:eastAsia="Times New Roman" w:cs="Times New Roman"/>
        </w:rPr>
      </w:pPr>
    </w:p>
    <w:bookmarkEnd w:id="1"/>
    <w:bookmarkEnd w:id="2"/>
    <w:bookmarkEnd w:id="3"/>
    <w:bookmarkEnd w:id="4"/>
    <w:bookmarkEnd w:id="5"/>
    <w:bookmarkEnd w:id="6"/>
    <w:bookmarkEnd w:id="7"/>
    <w:bookmarkEnd w:id="8"/>
    <w:bookmarkEnd w:id="9"/>
    <w:bookmarkEnd w:id="10"/>
    <w:bookmarkEnd w:id="11"/>
    <w:sectPr w:rsidR="005A4F43" w:rsidSect="00060E93">
      <w:headerReference w:type="first" r:id="rId10"/>
      <w:footerReference w:type="first" r:id="rId11"/>
      <w:pgSz w:w="11909" w:h="16834" w:code="9"/>
      <w:pgMar w:top="1418" w:right="1134" w:bottom="1134" w:left="1134" w:header="567" w:footer="567" w:gutter="0"/>
      <w:pgNumType w:fmt="upperRoman"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8039" w14:textId="77777777" w:rsidR="00CA2686" w:rsidRDefault="00CA2686" w:rsidP="00CA2686">
      <w:pPr>
        <w:spacing w:before="0" w:after="0"/>
      </w:pPr>
      <w:r>
        <w:separator/>
      </w:r>
    </w:p>
  </w:endnote>
  <w:endnote w:type="continuationSeparator" w:id="0">
    <w:p w14:paraId="42E3C1A4" w14:textId="77777777" w:rsidR="00CA2686" w:rsidRDefault="00CA2686" w:rsidP="00CA26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7291" w14:textId="77777777" w:rsidR="00060E93" w:rsidRPr="00236287" w:rsidRDefault="00060E93" w:rsidP="00060E93">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57C1F286" w14:textId="77777777" w:rsidR="00060E93" w:rsidRPr="00060E93" w:rsidRDefault="00060E93" w:rsidP="00060E93">
    <w:pPr>
      <w:pStyle w:val="Footer"/>
      <w:jc w:val="center"/>
      <w:rPr>
        <w:rFonts w:cs="Calibri"/>
        <w:sz w:val="20"/>
        <w:szCs w:val="20"/>
      </w:rPr>
    </w:pPr>
    <w:r w:rsidRPr="00236287">
      <w:rPr>
        <w:rFonts w:cs="Calibri"/>
        <w:noProof/>
        <w:sz w:val="20"/>
        <w:szCs w:val="20"/>
      </w:rPr>
      <w:t>Telephone: 1800 181 030  Email: ogtr@health.gov.au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94C4" w14:textId="4D18E8A9" w:rsidR="00B62DFD" w:rsidRPr="00B62DFD" w:rsidRDefault="00B62DFD" w:rsidP="00B6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EEAE3" w14:textId="77777777" w:rsidR="00CA2686" w:rsidRDefault="00CA2686" w:rsidP="00CA2686">
      <w:pPr>
        <w:spacing w:before="0" w:after="0"/>
      </w:pPr>
      <w:r>
        <w:separator/>
      </w:r>
    </w:p>
  </w:footnote>
  <w:footnote w:type="continuationSeparator" w:id="0">
    <w:p w14:paraId="27FF416B" w14:textId="77777777" w:rsidR="00CA2686" w:rsidRDefault="00CA2686" w:rsidP="00CA2686">
      <w:pPr>
        <w:spacing w:before="0" w:after="0"/>
      </w:pPr>
      <w:r>
        <w:continuationSeparator/>
      </w:r>
    </w:p>
  </w:footnote>
  <w:footnote w:id="1">
    <w:p w14:paraId="22FC8E9E" w14:textId="77777777" w:rsidR="00B62DFD" w:rsidRPr="00B62DFD" w:rsidRDefault="00B62DFD" w:rsidP="00B62DFD">
      <w:pPr>
        <w:pStyle w:val="FootnoteText"/>
        <w:spacing w:before="60"/>
        <w:rPr>
          <w:rFonts w:asciiTheme="minorHAnsi" w:hAnsiTheme="minorHAnsi" w:cstheme="minorHAnsi"/>
        </w:rPr>
      </w:pPr>
      <w:r w:rsidRPr="00B62DFD">
        <w:rPr>
          <w:rStyle w:val="FootnoteReference"/>
          <w:rFonts w:asciiTheme="minorHAnsi" w:hAnsiTheme="minorHAnsi" w:cstheme="minorHAnsi"/>
        </w:rPr>
        <w:footnoteRef/>
      </w:r>
      <w:r w:rsidRPr="00B62DFD">
        <w:rPr>
          <w:rFonts w:asciiTheme="minorHAnsi" w:hAnsiTheme="minorHAnsi" w:cstheme="minorHAnsi"/>
        </w:rPr>
        <w:t xml:space="preserve"> The title of the project as supplied by the applicant is ‘Limited and controlled release of </w:t>
      </w:r>
      <w:r w:rsidRPr="00B62DFD">
        <w:rPr>
          <w:rFonts w:asciiTheme="minorHAnsi" w:hAnsiTheme="minorHAnsi" w:cstheme="minorHAnsi"/>
          <w:i/>
          <w:iCs/>
        </w:rPr>
        <w:t xml:space="preserve">Sorghum </w:t>
      </w:r>
      <w:proofErr w:type="spellStart"/>
      <w:r w:rsidRPr="00B62DFD">
        <w:rPr>
          <w:rFonts w:asciiTheme="minorHAnsi" w:hAnsiTheme="minorHAnsi" w:cstheme="minorHAnsi"/>
          <w:i/>
          <w:iCs/>
        </w:rPr>
        <w:t>bicolor</w:t>
      </w:r>
      <w:proofErr w:type="spellEnd"/>
      <w:r w:rsidRPr="00B62DFD">
        <w:rPr>
          <w:rFonts w:asciiTheme="minorHAnsi" w:hAnsiTheme="minorHAnsi" w:cstheme="minorHAnsi"/>
        </w:rPr>
        <w:t xml:space="preserve"> genetically modified for altered reproduction from sexual to asexual’</w:t>
      </w:r>
    </w:p>
  </w:footnote>
  <w:footnote w:id="2">
    <w:p w14:paraId="4DF80FFA" w14:textId="77777777" w:rsidR="00B62DFD" w:rsidRPr="009E38D5" w:rsidRDefault="00B62DFD" w:rsidP="00B62DFD">
      <w:pPr>
        <w:pStyle w:val="FootnoteText"/>
        <w:spacing w:before="60"/>
      </w:pPr>
      <w:r w:rsidRPr="00B62DFD">
        <w:rPr>
          <w:rFonts w:asciiTheme="minorHAnsi" w:hAnsiTheme="minorHAnsi" w:cstheme="minorHAnsi"/>
          <w:vertAlign w:val="superscript"/>
        </w:rPr>
        <w:footnoteRef/>
      </w:r>
      <w:r w:rsidRPr="00B62DFD">
        <w:rPr>
          <w:rFonts w:asciiTheme="minorHAnsi" w:hAnsiTheme="minorHAnsi" w:cstheme="minorHAnsi"/>
        </w:rPr>
        <w:t xml:space="preserve"> Confidential Commercial Information: The details of the introduced gene have been declared as Confidential Commercial Information under section 185 of the Act. Relevant CCI was made available to the prescribed experts and agencies that were consulted on the RARMP for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DE6E" w14:textId="6F610041" w:rsidR="001E6DF5" w:rsidRPr="00F43ADC" w:rsidRDefault="00F43ADC" w:rsidP="00F43ADC">
    <w:pPr>
      <w:pStyle w:val="Header"/>
      <w:tabs>
        <w:tab w:val="clear" w:pos="9026"/>
        <w:tab w:val="right" w:pos="9639"/>
      </w:tabs>
      <w:rPr>
        <w:color w:val="0070C0"/>
      </w:rPr>
    </w:pPr>
    <w:r w:rsidRPr="00542559">
      <w:rPr>
        <w:rFonts w:cs="Calibri"/>
        <w:noProof/>
        <w:szCs w:val="22"/>
      </w:rPr>
      <w:drawing>
        <wp:inline distT="0" distB="0" distL="0" distR="0" wp14:anchorId="54ABCB2D" wp14:editId="5D9E54B6">
          <wp:extent cx="3337200" cy="950400"/>
          <wp:effectExtent l="0" t="0" r="0" b="254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Pr="00AD7E51">
      <w:t xml:space="preserve"> </w:t>
    </w:r>
    <w:r>
      <w:tab/>
    </w:r>
    <w:r w:rsidR="00B62DFD">
      <w:t>27 June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A803" w14:textId="77777777" w:rsidR="00F43ADC" w:rsidRPr="00F43ADC" w:rsidRDefault="00F43ADC" w:rsidP="00F4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A96"/>
    <w:multiLevelType w:val="hybridMultilevel"/>
    <w:tmpl w:val="9FCC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5" w15:restartNumberingAfterBreak="0">
    <w:nsid w:val="35996E70"/>
    <w:multiLevelType w:val="hybridMultilevel"/>
    <w:tmpl w:val="DFD8D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9" w15:restartNumberingAfterBreak="0">
    <w:nsid w:val="48AC2295"/>
    <w:multiLevelType w:val="hybridMultilevel"/>
    <w:tmpl w:val="AA3A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1427F"/>
    <w:multiLevelType w:val="hybridMultilevel"/>
    <w:tmpl w:val="9A788FA0"/>
    <w:lvl w:ilvl="0" w:tplc="53184546">
      <w:start w:val="1"/>
      <w:numFmt w:val="decimal"/>
      <w:pStyle w:val="RARMP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640109"/>
    <w:multiLevelType w:val="hybridMultilevel"/>
    <w:tmpl w:val="73307F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7"/>
  </w:num>
  <w:num w:numId="6">
    <w:abstractNumId w:val="1"/>
  </w:num>
  <w:num w:numId="7">
    <w:abstractNumId w:val="10"/>
  </w:num>
  <w:num w:numId="8">
    <w:abstractNumId w:val="14"/>
  </w:num>
  <w:num w:numId="9">
    <w:abstractNumId w:val="12"/>
  </w:num>
  <w:num w:numId="10">
    <w:abstractNumId w:val="11"/>
  </w:num>
  <w:num w:numId="11">
    <w:abstractNumId w:val="8"/>
  </w:num>
  <w:num w:numId="12">
    <w:abstractNumId w:val="2"/>
  </w:num>
  <w:num w:numId="13">
    <w:abstractNumId w:val="5"/>
  </w:num>
  <w:num w:numId="14">
    <w:abstractNumId w:val="0"/>
  </w:num>
  <w:num w:numId="15">
    <w:abstractNumId w:val="15"/>
  </w:num>
  <w:num w:numId="16">
    <w:abstractNumId w:val="16"/>
  </w:num>
  <w:num w:numId="17">
    <w:abstractNumId w:val="9"/>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86"/>
    <w:rsid w:val="00060E93"/>
    <w:rsid w:val="00186A29"/>
    <w:rsid w:val="001E6DF5"/>
    <w:rsid w:val="00205F4D"/>
    <w:rsid w:val="00280050"/>
    <w:rsid w:val="00311AC3"/>
    <w:rsid w:val="00404F0D"/>
    <w:rsid w:val="00467420"/>
    <w:rsid w:val="004D0D02"/>
    <w:rsid w:val="00542559"/>
    <w:rsid w:val="00550BC4"/>
    <w:rsid w:val="005513BB"/>
    <w:rsid w:val="005926AB"/>
    <w:rsid w:val="005A4F43"/>
    <w:rsid w:val="0065668D"/>
    <w:rsid w:val="00690839"/>
    <w:rsid w:val="007C32A1"/>
    <w:rsid w:val="008337F0"/>
    <w:rsid w:val="009B523B"/>
    <w:rsid w:val="00AD7E51"/>
    <w:rsid w:val="00B105D6"/>
    <w:rsid w:val="00B62DFD"/>
    <w:rsid w:val="00B6632F"/>
    <w:rsid w:val="00C22BAC"/>
    <w:rsid w:val="00C31CB7"/>
    <w:rsid w:val="00CA2686"/>
    <w:rsid w:val="00CF4E02"/>
    <w:rsid w:val="00F14D6C"/>
    <w:rsid w:val="00F43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6B6388"/>
  <w15:chartTrackingRefBased/>
  <w15:docId w15:val="{0F65AEEC-3A93-464B-8BDB-787B9ECF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1E6DF5"/>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5926AB"/>
    <w:pPr>
      <w:keepNext/>
      <w:keepLines/>
      <w:spacing w:before="240"/>
      <w:outlineLvl w:val="0"/>
    </w:pPr>
    <w:rPr>
      <w:rFonts w:asciiTheme="minorHAnsi" w:eastAsia="Times New Roman" w:hAnsiTheme="minorHAnsi" w:cstheme="majorBidi"/>
      <w:b/>
      <w:bCs/>
      <w:sz w:val="28"/>
      <w:szCs w:val="28"/>
    </w:rPr>
  </w:style>
  <w:style w:type="paragraph" w:styleId="Heading2">
    <w:name w:val="heading 2"/>
    <w:basedOn w:val="Normal"/>
    <w:next w:val="Normal"/>
    <w:link w:val="Heading2Char"/>
    <w:uiPriority w:val="9"/>
    <w:semiHidden/>
    <w:unhideWhenUsed/>
    <w:qFormat/>
    <w:rsid w:val="00CF4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RMP">
    <w:name w:val="1 RARMP"/>
    <w:basedOn w:val="Normal"/>
    <w:qFormat/>
    <w:rsid w:val="00404F0D"/>
    <w:pPr>
      <w:numPr>
        <w:numId w:val="4"/>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404F0D"/>
    <w:pPr>
      <w:keepNext/>
      <w:numPr>
        <w:ilvl w:val="1"/>
        <w:numId w:val="4"/>
      </w:numPr>
      <w:tabs>
        <w:tab w:val="left" w:pos="1559"/>
      </w:tabs>
      <w:spacing w:before="240"/>
      <w:outlineLvl w:val="1"/>
    </w:pPr>
    <w:rPr>
      <w:rFonts w:asciiTheme="minorHAnsi" w:eastAsiaTheme="minorEastAsia" w:hAnsiTheme="minorHAnsi" w:cs="Arial"/>
      <w:b/>
      <w:bCs/>
      <w:iCs/>
      <w:sz w:val="28"/>
      <w:szCs w:val="28"/>
    </w:rPr>
  </w:style>
  <w:style w:type="character" w:customStyle="1" w:styleId="2RARMPChar">
    <w:name w:val="2 RARMP Char"/>
    <w:basedOn w:val="DefaultParagraphFont"/>
    <w:link w:val="2RARMP"/>
    <w:rsid w:val="00404F0D"/>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404F0D"/>
    <w:pPr>
      <w:keepNext/>
      <w:numPr>
        <w:ilvl w:val="2"/>
        <w:numId w:val="4"/>
      </w:numPr>
      <w:spacing w:before="240"/>
      <w:outlineLvl w:val="2"/>
    </w:pPr>
    <w:rPr>
      <w:rFonts w:asciiTheme="minorHAnsi" w:eastAsiaTheme="minorEastAsia" w:hAnsiTheme="minorHAnsi" w:cs="Arial"/>
      <w:b/>
      <w:bCs/>
    </w:rPr>
  </w:style>
  <w:style w:type="paragraph" w:customStyle="1" w:styleId="4RARMP">
    <w:name w:val="4 RARMP"/>
    <w:basedOn w:val="Normal"/>
    <w:uiPriority w:val="1"/>
    <w:qFormat/>
    <w:rsid w:val="00404F0D"/>
    <w:pPr>
      <w:keepNext/>
      <w:keepLines/>
      <w:numPr>
        <w:ilvl w:val="3"/>
        <w:numId w:val="4"/>
      </w:numPr>
      <w:tabs>
        <w:tab w:val="clear" w:pos="993"/>
        <w:tab w:val="num" w:pos="567"/>
        <w:tab w:val="left" w:pos="851"/>
      </w:tabs>
      <w:outlineLvl w:val="3"/>
    </w:pPr>
    <w:rPr>
      <w:rFonts w:asciiTheme="minorHAnsi" w:eastAsiaTheme="minorEastAsia" w:hAnsiTheme="minorHAnsi" w:cs="Arial"/>
      <w:b/>
      <w:bCs/>
      <w:i/>
      <w:iCs/>
    </w:rPr>
  </w:style>
  <w:style w:type="paragraph" w:customStyle="1" w:styleId="5RARMP">
    <w:name w:val="5 RARMP"/>
    <w:basedOn w:val="Normal"/>
    <w:link w:val="5RARMPChar"/>
    <w:uiPriority w:val="1"/>
    <w:rsid w:val="00404F0D"/>
    <w:pPr>
      <w:tabs>
        <w:tab w:val="left" w:pos="567"/>
      </w:tabs>
      <w:outlineLvl w:val="4"/>
    </w:pPr>
    <w:rPr>
      <w:rFonts w:eastAsia="Times New Roman"/>
      <w:i/>
      <w:u w:val="single"/>
    </w:rPr>
  </w:style>
  <w:style w:type="character" w:customStyle="1" w:styleId="5RARMPChar">
    <w:name w:val="5 RARMP Char"/>
    <w:basedOn w:val="DefaultParagraphFont"/>
    <w:link w:val="5RARMP"/>
    <w:uiPriority w:val="1"/>
    <w:rsid w:val="00404F0D"/>
    <w:rPr>
      <w:rFonts w:ascii="Calibri" w:eastAsia="Times New Roman" w:hAnsi="Calibri"/>
      <w:i/>
      <w:sz w:val="22"/>
      <w:u w:val="single"/>
      <w:lang w:eastAsia="en-AU"/>
    </w:rPr>
  </w:style>
  <w:style w:type="paragraph" w:customStyle="1" w:styleId="bulletedRARMP0">
    <w:name w:val="bulleted RARMP"/>
    <w:basedOn w:val="Normal"/>
    <w:qFormat/>
    <w:rsid w:val="00404F0D"/>
    <w:pPr>
      <w:tabs>
        <w:tab w:val="num" w:pos="720"/>
      </w:tabs>
      <w:ind w:left="720" w:hanging="360"/>
    </w:pPr>
    <w:rPr>
      <w:rFonts w:eastAsiaTheme="minorEastAsia"/>
      <w:lang w:val="en"/>
    </w:rPr>
  </w:style>
  <w:style w:type="paragraph" w:customStyle="1" w:styleId="BulletedRARMP">
    <w:name w:val="Bulleted RARMP"/>
    <w:basedOn w:val="Normal"/>
    <w:link w:val="BulletedRARMPChar"/>
    <w:rsid w:val="00404F0D"/>
    <w:pPr>
      <w:numPr>
        <w:numId w:val="5"/>
      </w:numPr>
      <w:spacing w:after="60"/>
    </w:pPr>
    <w:rPr>
      <w:rFonts w:eastAsiaTheme="minorEastAsia"/>
    </w:rPr>
  </w:style>
  <w:style w:type="character" w:customStyle="1" w:styleId="BulletedRARMPChar">
    <w:name w:val="Bulleted RARMP Char"/>
    <w:basedOn w:val="DefaultParagraphFont"/>
    <w:link w:val="BulletedRARMP"/>
    <w:rsid w:val="00404F0D"/>
    <w:rPr>
      <w:rFonts w:eastAsiaTheme="minorEastAsia"/>
      <w:lang w:eastAsia="en-AU"/>
    </w:rPr>
  </w:style>
  <w:style w:type="character" w:customStyle="1" w:styleId="BulletedRARMPCharChar">
    <w:name w:val="Bulleted RARMP Char Char"/>
    <w:rsid w:val="00404F0D"/>
    <w:rPr>
      <w:rFonts w:ascii="Calibri" w:eastAsiaTheme="minorEastAsia" w:hAnsi="Calibri"/>
      <w:sz w:val="22"/>
      <w:lang w:eastAsia="en-AU"/>
    </w:rPr>
  </w:style>
  <w:style w:type="paragraph" w:customStyle="1" w:styleId="bulletedRARMP2">
    <w:name w:val="bulleted RARMP2"/>
    <w:basedOn w:val="Normal"/>
    <w:uiPriority w:val="19"/>
    <w:rsid w:val="00404F0D"/>
    <w:pPr>
      <w:tabs>
        <w:tab w:val="num" w:pos="720"/>
      </w:tabs>
      <w:spacing w:before="60" w:after="60"/>
      <w:ind w:left="720" w:hanging="360"/>
    </w:pPr>
    <w:rPr>
      <w:rFonts w:eastAsia="Times New Roman"/>
    </w:rPr>
  </w:style>
  <w:style w:type="paragraph" w:customStyle="1" w:styleId="chapter">
    <w:name w:val="chapter"/>
    <w:basedOn w:val="Normal"/>
    <w:next w:val="Normal"/>
    <w:rsid w:val="00404F0D"/>
    <w:pPr>
      <w:keepNext/>
      <w:tabs>
        <w:tab w:val="num" w:pos="397"/>
      </w:tabs>
      <w:spacing w:before="240"/>
      <w:ind w:left="397" w:hanging="397"/>
      <w:outlineLvl w:val="0"/>
    </w:pPr>
    <w:rPr>
      <w:rFonts w:ascii="Arial" w:eastAsia="Times New Roman" w:hAnsi="Arial"/>
      <w:b/>
      <w:sz w:val="36"/>
    </w:rPr>
  </w:style>
  <w:style w:type="paragraph" w:customStyle="1" w:styleId="Licencebullets">
    <w:name w:val="Licence bullets"/>
    <w:basedOn w:val="Normal"/>
    <w:rsid w:val="00404F0D"/>
    <w:pPr>
      <w:numPr>
        <w:numId w:val="6"/>
      </w:numPr>
      <w:tabs>
        <w:tab w:val="clear" w:pos="737"/>
        <w:tab w:val="num" w:pos="360"/>
      </w:tabs>
    </w:pPr>
    <w:rPr>
      <w:rFonts w:eastAsiaTheme="minorEastAsia"/>
    </w:rPr>
  </w:style>
  <w:style w:type="paragraph" w:customStyle="1" w:styleId="Licencecondition">
    <w:name w:val="Licence condition"/>
    <w:basedOn w:val="Normal"/>
    <w:uiPriority w:val="7"/>
    <w:qFormat/>
    <w:rsid w:val="00404F0D"/>
    <w:pPr>
      <w:numPr>
        <w:numId w:val="7"/>
      </w:numPr>
      <w:tabs>
        <w:tab w:val="left" w:pos="567"/>
      </w:tabs>
    </w:pPr>
    <w:rPr>
      <w:rFonts w:eastAsia="Times New Roman"/>
    </w:rPr>
  </w:style>
  <w:style w:type="paragraph" w:customStyle="1" w:styleId="RARMPPara">
    <w:name w:val="RARMP Para"/>
    <w:basedOn w:val="Normal"/>
    <w:link w:val="RARMPParaChar"/>
    <w:autoRedefine/>
    <w:qFormat/>
    <w:rsid w:val="00404F0D"/>
    <w:pPr>
      <w:numPr>
        <w:numId w:val="8"/>
      </w:numPr>
      <w:tabs>
        <w:tab w:val="left" w:pos="567"/>
      </w:tabs>
      <w:spacing w:before="240" w:after="240"/>
    </w:pPr>
    <w:rPr>
      <w:rFonts w:asciiTheme="minorHAnsi" w:eastAsia="Times New Roman" w:hAnsiTheme="minorHAnsi" w:cstheme="minorHAnsi"/>
      <w:szCs w:val="22"/>
      <w:u w:color="000000"/>
      <w:shd w:val="clear" w:color="auto" w:fill="FEFEFE"/>
      <w:lang w:val="en"/>
    </w:rPr>
  </w:style>
  <w:style w:type="character" w:customStyle="1" w:styleId="RARMPParaChar">
    <w:name w:val="RARMP Para Char"/>
    <w:basedOn w:val="DefaultParagraphFont"/>
    <w:link w:val="RARMPPara"/>
    <w:rsid w:val="00404F0D"/>
    <w:rPr>
      <w:rFonts w:asciiTheme="minorHAnsi" w:eastAsia="Times New Roman" w:hAnsiTheme="minorHAnsi" w:cstheme="minorHAnsi"/>
      <w:sz w:val="22"/>
      <w:szCs w:val="22"/>
      <w:u w:color="000000"/>
      <w:lang w:val="en"/>
    </w:rPr>
  </w:style>
  <w:style w:type="paragraph" w:customStyle="1" w:styleId="RARMPParagraph">
    <w:name w:val="RARMP Paragraph"/>
    <w:basedOn w:val="Normal"/>
    <w:link w:val="RARMPParagraphChar"/>
    <w:uiPriority w:val="7"/>
    <w:qFormat/>
    <w:rsid w:val="00404F0D"/>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404F0D"/>
    <w:rPr>
      <w:rFonts w:ascii="Calibri" w:eastAsia="Calibri" w:hAnsi="Calibri"/>
      <w:sz w:val="22"/>
      <w:lang w:eastAsia="en-AU"/>
    </w:rPr>
  </w:style>
  <w:style w:type="character" w:customStyle="1" w:styleId="Heading1Char">
    <w:name w:val="Heading 1 Char"/>
    <w:basedOn w:val="DefaultParagraphFont"/>
    <w:link w:val="Heading1"/>
    <w:rsid w:val="005926AB"/>
    <w:rPr>
      <w:rFonts w:asciiTheme="minorHAnsi" w:eastAsia="Times New Roman" w:hAnsiTheme="minorHAnsi" w:cstheme="majorBidi"/>
      <w:b/>
      <w:bCs/>
      <w:sz w:val="28"/>
      <w:szCs w:val="28"/>
      <w:lang w:eastAsia="en-AU"/>
    </w:rPr>
  </w:style>
  <w:style w:type="character" w:customStyle="1" w:styleId="FootnoteTextChar">
    <w:name w:val="Footnote Text Char"/>
    <w:basedOn w:val="DefaultParagraphFont"/>
    <w:link w:val="FootnoteText"/>
    <w:rsid w:val="00CA2686"/>
    <w:rPr>
      <w:sz w:val="20"/>
      <w:szCs w:val="20"/>
    </w:rPr>
  </w:style>
  <w:style w:type="character" w:styleId="FootnoteReference">
    <w:name w:val="footnote reference"/>
    <w:rsid w:val="00CA2686"/>
    <w:rPr>
      <w:vertAlign w:val="superscript"/>
    </w:rPr>
  </w:style>
  <w:style w:type="paragraph" w:styleId="FootnoteText">
    <w:name w:val="footnote text"/>
    <w:basedOn w:val="Normal"/>
    <w:link w:val="FootnoteTextChar"/>
    <w:rsid w:val="00CA2686"/>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CA2686"/>
    <w:rPr>
      <w:rFonts w:ascii="Calibri" w:hAnsi="Calibri" w:cstheme="minorBidi"/>
      <w:sz w:val="20"/>
      <w:szCs w:val="20"/>
      <w:lang w:eastAsia="en-AU"/>
    </w:rPr>
  </w:style>
  <w:style w:type="paragraph" w:customStyle="1" w:styleId="RIGHTLIST">
    <w:name w:val="RIGHTLIST"/>
    <w:basedOn w:val="LEFTLIST"/>
    <w:link w:val="RIGHTLISTChar"/>
    <w:rsid w:val="00CA2686"/>
    <w:rPr>
      <w:rFonts w:ascii="Times New Roman" w:hAnsi="Times New Roman" w:cs="Times New Roman"/>
      <w:b w:val="0"/>
      <w:bCs w:val="0"/>
    </w:rPr>
  </w:style>
  <w:style w:type="paragraph" w:customStyle="1" w:styleId="LEFTLIST">
    <w:name w:val="LEFTLIST"/>
    <w:basedOn w:val="Heading1"/>
    <w:rsid w:val="00CA2686"/>
    <w:pPr>
      <w:keepLines w:val="0"/>
      <w:tabs>
        <w:tab w:val="right" w:leader="dot" w:pos="9356"/>
      </w:tabs>
      <w:spacing w:before="80" w:after="40"/>
      <w:outlineLvl w:val="9"/>
    </w:pPr>
    <w:rPr>
      <w:rFonts w:ascii="Arial Narrow" w:hAnsi="Arial Narrow" w:cs="Arial Narrow"/>
      <w:i/>
      <w:sz w:val="22"/>
      <w:szCs w:val="22"/>
    </w:rPr>
  </w:style>
  <w:style w:type="paragraph" w:customStyle="1" w:styleId="Paranonumbers">
    <w:name w:val="Para no numbers"/>
    <w:basedOn w:val="Normal"/>
    <w:link w:val="ParanonumbersChar"/>
    <w:qFormat/>
    <w:rsid w:val="00CA2686"/>
    <w:rPr>
      <w:rFonts w:ascii="Times New Roman" w:eastAsiaTheme="minorEastAsia" w:hAnsi="Times New Roman" w:cs="Times New Roman"/>
      <w:sz w:val="24"/>
    </w:rPr>
  </w:style>
  <w:style w:type="character" w:customStyle="1" w:styleId="ParanonumbersChar">
    <w:name w:val="Para no numbers Char"/>
    <w:link w:val="Paranonumbers"/>
    <w:locked/>
    <w:rsid w:val="00CA2686"/>
    <w:rPr>
      <w:rFonts w:eastAsiaTheme="minorEastAsia"/>
      <w:lang w:eastAsia="en-AU"/>
    </w:rPr>
  </w:style>
  <w:style w:type="paragraph" w:customStyle="1" w:styleId="Body">
    <w:name w:val="Body"/>
    <w:rsid w:val="00CA2686"/>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styleId="Header">
    <w:name w:val="header"/>
    <w:basedOn w:val="Normal"/>
    <w:link w:val="HeaderChar"/>
    <w:uiPriority w:val="99"/>
    <w:unhideWhenUsed/>
    <w:rsid w:val="00CA2686"/>
    <w:pPr>
      <w:tabs>
        <w:tab w:val="center" w:pos="4513"/>
        <w:tab w:val="right" w:pos="9026"/>
      </w:tabs>
      <w:spacing w:before="0" w:after="0"/>
    </w:pPr>
  </w:style>
  <w:style w:type="character" w:customStyle="1" w:styleId="HeaderChar">
    <w:name w:val="Header Char"/>
    <w:basedOn w:val="DefaultParagraphFont"/>
    <w:link w:val="Header"/>
    <w:uiPriority w:val="99"/>
    <w:rsid w:val="00CA2686"/>
    <w:rPr>
      <w:rFonts w:ascii="Calibri" w:hAnsi="Calibri" w:cstheme="minorBidi"/>
      <w:sz w:val="22"/>
      <w:lang w:eastAsia="en-AU"/>
    </w:rPr>
  </w:style>
  <w:style w:type="paragraph" w:styleId="Footer">
    <w:name w:val="footer"/>
    <w:basedOn w:val="Normal"/>
    <w:link w:val="FooterChar"/>
    <w:uiPriority w:val="99"/>
    <w:unhideWhenUsed/>
    <w:rsid w:val="00CA2686"/>
    <w:pPr>
      <w:tabs>
        <w:tab w:val="center" w:pos="4513"/>
        <w:tab w:val="right" w:pos="9026"/>
      </w:tabs>
      <w:spacing w:before="0" w:after="0"/>
    </w:pPr>
  </w:style>
  <w:style w:type="character" w:customStyle="1" w:styleId="FooterChar">
    <w:name w:val="Footer Char"/>
    <w:basedOn w:val="DefaultParagraphFont"/>
    <w:link w:val="Footer"/>
    <w:uiPriority w:val="99"/>
    <w:rsid w:val="00CA2686"/>
    <w:rPr>
      <w:rFonts w:ascii="Calibri" w:hAnsi="Calibri" w:cstheme="minorBidi"/>
      <w:sz w:val="22"/>
      <w:lang w:eastAsia="en-AU"/>
    </w:rPr>
  </w:style>
  <w:style w:type="character" w:customStyle="1" w:styleId="Heading2Char">
    <w:name w:val="Heading 2 Char"/>
    <w:basedOn w:val="DefaultParagraphFont"/>
    <w:link w:val="Heading2"/>
    <w:uiPriority w:val="9"/>
    <w:semiHidden/>
    <w:rsid w:val="00CF4E02"/>
    <w:rPr>
      <w:rFonts w:asciiTheme="majorHAnsi" w:eastAsiaTheme="majorEastAsia" w:hAnsiTheme="majorHAnsi" w:cstheme="majorBidi"/>
      <w:color w:val="2E74B5" w:themeColor="accent1" w:themeShade="BF"/>
      <w:sz w:val="26"/>
      <w:szCs w:val="26"/>
      <w:lang w:eastAsia="en-AU"/>
    </w:rPr>
  </w:style>
  <w:style w:type="paragraph" w:customStyle="1" w:styleId="FootnoteText1">
    <w:name w:val="Footnote Text1"/>
    <w:basedOn w:val="Normal"/>
    <w:qFormat/>
    <w:rsid w:val="007C32A1"/>
    <w:rPr>
      <w:rFonts w:eastAsia="Times New Roman" w:cs="Times New Roman"/>
      <w:sz w:val="20"/>
      <w:szCs w:val="20"/>
    </w:rPr>
  </w:style>
  <w:style w:type="numbering" w:customStyle="1" w:styleId="tablebulletsRARMP">
    <w:name w:val="table bullets RARMP"/>
    <w:basedOn w:val="NoList"/>
    <w:rsid w:val="007C32A1"/>
    <w:pPr>
      <w:numPr>
        <w:numId w:val="10"/>
      </w:numPr>
    </w:pPr>
  </w:style>
  <w:style w:type="paragraph" w:customStyle="1" w:styleId="RARMPnumberedparagraphs">
    <w:name w:val="RARMP numbered paragraphs"/>
    <w:basedOn w:val="ListParagraph"/>
    <w:link w:val="RARMPnumberedparagraphsChar"/>
    <w:qFormat/>
    <w:rsid w:val="00550BC4"/>
    <w:pPr>
      <w:numPr>
        <w:numId w:val="11"/>
      </w:numPr>
      <w:tabs>
        <w:tab w:val="num" w:pos="567"/>
      </w:tabs>
      <w:ind w:left="0" w:firstLine="0"/>
      <w:contextualSpacing w:val="0"/>
    </w:pPr>
    <w:rPr>
      <w:rFonts w:eastAsia="Times New Roman" w:cs="Times New Roman"/>
    </w:rPr>
  </w:style>
  <w:style w:type="character" w:customStyle="1" w:styleId="RARMPnumberedparagraphsChar">
    <w:name w:val="RARMP numbered paragraphs Char"/>
    <w:basedOn w:val="DefaultParagraphFont"/>
    <w:link w:val="RARMPnumberedparagraphs"/>
    <w:rsid w:val="00550BC4"/>
    <w:rPr>
      <w:rFonts w:ascii="Calibri" w:eastAsia="Times New Roman" w:hAnsi="Calibri"/>
      <w:sz w:val="22"/>
      <w:lang w:eastAsia="en-AU"/>
    </w:rPr>
  </w:style>
  <w:style w:type="paragraph" w:customStyle="1" w:styleId="Para">
    <w:name w:val="Para"/>
    <w:basedOn w:val="Normal"/>
    <w:link w:val="ParaCharChar"/>
    <w:autoRedefine/>
    <w:rsid w:val="00550BC4"/>
    <w:pPr>
      <w:numPr>
        <w:numId w:val="12"/>
      </w:numPr>
      <w:tabs>
        <w:tab w:val="clear" w:pos="6755"/>
        <w:tab w:val="left" w:pos="567"/>
        <w:tab w:val="num" w:pos="771"/>
      </w:tabs>
    </w:pPr>
    <w:rPr>
      <w:rFonts w:ascii="Times New Roman" w:eastAsia="Times New Roman" w:hAnsi="Times New Roman" w:cs="Times New Roman"/>
      <w:sz w:val="24"/>
    </w:rPr>
  </w:style>
  <w:style w:type="character" w:customStyle="1" w:styleId="RIGHTLISTChar">
    <w:name w:val="RIGHTLIST Char"/>
    <w:basedOn w:val="DefaultParagraphFont"/>
    <w:link w:val="RIGHTLIST"/>
    <w:rsid w:val="00550BC4"/>
    <w:rPr>
      <w:rFonts w:eastAsia="Times New Roman"/>
      <w:sz w:val="22"/>
      <w:szCs w:val="22"/>
      <w:lang w:eastAsia="en-AU"/>
    </w:rPr>
  </w:style>
  <w:style w:type="character" w:customStyle="1" w:styleId="ParaCharChar">
    <w:name w:val="Para Char Char"/>
    <w:basedOn w:val="DefaultParagraphFont"/>
    <w:link w:val="Para"/>
    <w:locked/>
    <w:rsid w:val="00550BC4"/>
    <w:rPr>
      <w:rFonts w:eastAsia="Times New Roman"/>
      <w:lang w:eastAsia="en-AU"/>
    </w:rPr>
  </w:style>
  <w:style w:type="paragraph" w:styleId="ListParagraph">
    <w:name w:val="List Paragraph"/>
    <w:basedOn w:val="Normal"/>
    <w:link w:val="ListParagraphChar"/>
    <w:uiPriority w:val="34"/>
    <w:qFormat/>
    <w:rsid w:val="00550BC4"/>
    <w:pPr>
      <w:ind w:left="720"/>
      <w:contextualSpacing/>
    </w:pPr>
  </w:style>
  <w:style w:type="character" w:styleId="Hyperlink">
    <w:name w:val="Hyperlink"/>
    <w:uiPriority w:val="99"/>
    <w:rsid w:val="001E6DF5"/>
    <w:rPr>
      <w:color w:val="0000FF"/>
      <w:u w:val="single"/>
    </w:rPr>
  </w:style>
  <w:style w:type="character" w:customStyle="1" w:styleId="ListParagraphChar">
    <w:name w:val="List Paragraph Char"/>
    <w:basedOn w:val="DefaultParagraphFont"/>
    <w:link w:val="ListParagraph"/>
    <w:uiPriority w:val="34"/>
    <w:rsid w:val="001E6DF5"/>
    <w:rPr>
      <w:rFonts w:ascii="Calibri" w:hAnsi="Calibr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DC70-2ADD-4CA4-9E3E-301C26A8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DIR 179 - Summary of Risk Assessment and Risk Management Plan</vt:lpstr>
    </vt:vector>
  </TitlesOfParts>
  <Company>Department of Health</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Summary of Risk Assessment and Risk Management Plan</dc:title>
  <dc:subject/>
  <dc:creator>OGTR.Voicemail@health.gov.au</dc:creator>
  <cp:keywords/>
  <dc:description/>
  <cp:lastModifiedBy>SMITH, Justine</cp:lastModifiedBy>
  <cp:revision>2</cp:revision>
  <dcterms:created xsi:type="dcterms:W3CDTF">2022-06-23T06:00:00Z</dcterms:created>
  <dcterms:modified xsi:type="dcterms:W3CDTF">2022-06-23T06:00:00Z</dcterms:modified>
</cp:coreProperties>
</file>