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A127" w14:textId="7A9311A9" w:rsidR="009D35E9" w:rsidRPr="00091301" w:rsidRDefault="009D35E9" w:rsidP="00091301">
      <w:pPr>
        <w:pStyle w:val="CmqTitle1"/>
        <w:spacing w:before="240"/>
        <w:rPr>
          <w:color w:val="auto"/>
        </w:rPr>
      </w:pPr>
      <w:bookmarkStart w:id="0" w:name="_Toc123029785"/>
      <w:r w:rsidRPr="00091301">
        <w:rPr>
          <w:color w:val="auto"/>
        </w:rPr>
        <w:t>Gene Technology Technical Advisory Committee</w:t>
      </w:r>
      <w:bookmarkEnd w:id="0"/>
    </w:p>
    <w:p w14:paraId="1D7F2B43" w14:textId="24B92821" w:rsidR="009D35E9" w:rsidRPr="00091301" w:rsidRDefault="00034B85" w:rsidP="009D35E9">
      <w:pPr>
        <w:pStyle w:val="CmqTitle1"/>
        <w:rPr>
          <w:color w:val="auto"/>
          <w:szCs w:val="24"/>
        </w:rPr>
      </w:pPr>
      <w:r>
        <w:rPr>
          <w:color w:val="auto"/>
          <w:szCs w:val="24"/>
        </w:rPr>
        <w:t>28</w:t>
      </w:r>
      <w:r w:rsidR="008539BF" w:rsidRPr="00091301">
        <w:rPr>
          <w:color w:val="auto"/>
          <w:szCs w:val="24"/>
        </w:rPr>
        <w:t xml:space="preserve"> </w:t>
      </w:r>
      <w:r>
        <w:rPr>
          <w:color w:val="auto"/>
          <w:szCs w:val="24"/>
        </w:rPr>
        <w:t>February</w:t>
      </w:r>
      <w:r w:rsidR="009D35E9" w:rsidRPr="00091301">
        <w:rPr>
          <w:color w:val="auto"/>
          <w:szCs w:val="24"/>
        </w:rPr>
        <w:t xml:space="preserve"> 202</w:t>
      </w:r>
      <w:r>
        <w:rPr>
          <w:color w:val="auto"/>
          <w:szCs w:val="24"/>
        </w:rPr>
        <w:t>2</w:t>
      </w:r>
    </w:p>
    <w:p w14:paraId="32AB77DE" w14:textId="77777777" w:rsidR="009D35E9" w:rsidRPr="00091301" w:rsidRDefault="009D35E9" w:rsidP="009D35E9">
      <w:pPr>
        <w:pStyle w:val="CmqTitle1"/>
        <w:spacing w:after="240"/>
        <w:rPr>
          <w:color w:val="auto"/>
          <w:szCs w:val="24"/>
        </w:rPr>
      </w:pPr>
      <w:r w:rsidRPr="00091301">
        <w:rPr>
          <w:color w:val="auto"/>
          <w:szCs w:val="24"/>
        </w:rPr>
        <w:t>Communiqué</w:t>
      </w:r>
    </w:p>
    <w:p w14:paraId="772240E8" w14:textId="19BCA69B" w:rsidR="009D35E9" w:rsidRPr="00091301" w:rsidRDefault="009D35E9" w:rsidP="009D35E9">
      <w:pPr>
        <w:pStyle w:val="CmqTitle2"/>
        <w:ind w:left="0"/>
      </w:pPr>
      <w:r w:rsidRPr="00091301">
        <w:t xml:space="preserve">This Communiqué covers matters considered at the </w:t>
      </w:r>
      <w:r w:rsidR="008539BF" w:rsidRPr="00091301">
        <w:t>2</w:t>
      </w:r>
      <w:r w:rsidR="00034B85">
        <w:t>9</w:t>
      </w:r>
      <w:r w:rsidR="008539BF" w:rsidRPr="00091301">
        <w:rPr>
          <w:vertAlign w:val="superscript"/>
        </w:rPr>
        <w:t>th</w:t>
      </w:r>
      <w:r w:rsidR="008539BF" w:rsidRPr="00091301">
        <w:t xml:space="preserve"> </w:t>
      </w:r>
      <w:r w:rsidRPr="00091301">
        <w:t xml:space="preserve">videoconference of the </w:t>
      </w:r>
      <w:r w:rsidRPr="00091301">
        <w:br/>
        <w:t>Gene Technology Technical Advisory Committee (</w:t>
      </w:r>
      <w:r w:rsidR="00034B85">
        <w:t>28</w:t>
      </w:r>
      <w:r w:rsidR="008539BF" w:rsidRPr="00091301">
        <w:t xml:space="preserve"> </w:t>
      </w:r>
      <w:r w:rsidR="00034B85">
        <w:t>February</w:t>
      </w:r>
      <w:r w:rsidRPr="00091301">
        <w:t xml:space="preserve"> 202</w:t>
      </w:r>
      <w:r w:rsidR="00034B85">
        <w:t>2</w:t>
      </w:r>
      <w:r w:rsidRPr="00091301">
        <w:t>)</w:t>
      </w:r>
    </w:p>
    <w:p w14:paraId="78210C7F" w14:textId="77777777" w:rsidR="009D35E9" w:rsidRPr="00091301" w:rsidRDefault="009D35E9" w:rsidP="009D35E9">
      <w:pPr>
        <w:pStyle w:val="BodyText"/>
        <w:tabs>
          <w:tab w:val="left" w:pos="2410"/>
        </w:tabs>
        <w:spacing w:before="240"/>
        <w:rPr>
          <w:rFonts w:ascii="Arial" w:hAnsi="Arial" w:cs="Arial"/>
        </w:rPr>
      </w:pPr>
      <w:r w:rsidRPr="00091301">
        <w:rPr>
          <w:rFonts w:ascii="Arial" w:hAnsi="Arial" w:cs="Arial"/>
        </w:rPr>
        <w:t xml:space="preserve">The Gene Technology Technical Advisory Committee (GTTAC) is a statutory advisory committee established under the </w:t>
      </w:r>
      <w:r w:rsidRPr="00091301">
        <w:rPr>
          <w:rFonts w:ascii="Arial" w:hAnsi="Arial" w:cs="Arial"/>
          <w:i/>
        </w:rPr>
        <w:t>Gene Technology Act 2000</w:t>
      </w:r>
      <w:r w:rsidRPr="00091301">
        <w:rPr>
          <w:rFonts w:ascii="Arial" w:hAnsi="Arial" w:cs="Arial"/>
        </w:rPr>
        <w:t xml:space="preserve"> (the Act) to provide scientific and technical advice to the Gene Technology Regulator (the Regulator) and the Gene Technology Ministers’ Meeting. </w:t>
      </w:r>
    </w:p>
    <w:p w14:paraId="26E96D08" w14:textId="77777777" w:rsidR="009D35E9" w:rsidRPr="00091301" w:rsidRDefault="009D35E9" w:rsidP="009D35E9">
      <w:pPr>
        <w:pStyle w:val="BodyText"/>
        <w:rPr>
          <w:rFonts w:ascii="Arial" w:hAnsi="Arial" w:cs="Arial"/>
        </w:rPr>
      </w:pPr>
      <w:r w:rsidRPr="00091301">
        <w:rPr>
          <w:rFonts w:ascii="Arial" w:hAnsi="Arial" w:cs="Arial"/>
        </w:rPr>
        <w:t>The Regulator seeks advice from GTTAC on licence applications to work with Genetically Modified Organisms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committee resolutions given to the Regulator. The Communiqué also provides an overview of any other deliberations of the committee. It does not include information which is treated as Confidential Commercial Information in accordance with the Act.</w:t>
      </w:r>
    </w:p>
    <w:p w14:paraId="6408A059" w14:textId="77777777" w:rsidR="009D35E9" w:rsidRPr="00091301" w:rsidRDefault="009D35E9" w:rsidP="00E02999">
      <w:pPr>
        <w:pStyle w:val="CmqHeading1"/>
      </w:pPr>
      <w:r w:rsidRPr="00091301">
        <w:t>Dealings Involving the Intentional Release of a GMO</w:t>
      </w:r>
    </w:p>
    <w:p w14:paraId="39FC6B5F" w14:textId="77777777" w:rsidR="009D35E9" w:rsidRPr="00091301" w:rsidRDefault="009D35E9" w:rsidP="009D35E9">
      <w:pPr>
        <w:pStyle w:val="BodyText"/>
        <w:rPr>
          <w:rFonts w:ascii="Arial" w:hAnsi="Arial" w:cs="Arial"/>
        </w:rPr>
      </w:pPr>
      <w:r w:rsidRPr="00091301">
        <w:rPr>
          <w:rFonts w:ascii="Arial" w:hAnsi="Arial" w:cs="Arial"/>
        </w:rPr>
        <w:t>Dealings involving the Intentional Release (DIR) of a GMO into the environment can involve a limited and controlled release (clinical trial or field trial) or a commercial (general) release.</w:t>
      </w:r>
    </w:p>
    <w:p w14:paraId="23AFEAB7" w14:textId="77777777" w:rsidR="009D35E9" w:rsidRPr="00091301" w:rsidRDefault="009D35E9" w:rsidP="009D35E9">
      <w:pPr>
        <w:pStyle w:val="BodyText"/>
        <w:rPr>
          <w:rFonts w:ascii="Arial" w:hAnsi="Arial" w:cs="Arial"/>
        </w:rPr>
      </w:pPr>
      <w:r w:rsidRPr="00091301">
        <w:rPr>
          <w:rFonts w:ascii="Arial" w:hAnsi="Arial" w:cs="Arial"/>
        </w:rPr>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2ECC21BC" w14:textId="0EC744F4" w:rsidR="009D35E9" w:rsidRDefault="009D35E9" w:rsidP="009D35E9">
      <w:pPr>
        <w:pStyle w:val="BodyText"/>
        <w:rPr>
          <w:rFonts w:ascii="Arial" w:hAnsi="Arial" w:cs="Arial"/>
        </w:rPr>
      </w:pPr>
      <w:r w:rsidRPr="00091301">
        <w:rPr>
          <w:rFonts w:ascii="Arial" w:hAnsi="Arial" w:cs="Arial"/>
        </w:rPr>
        <w:t xml:space="preserve">The RARMP for every DIR licence application is issued for public consultation. Information on how to obtain copies of DIR applications and RARMPs is provided at the end of this document. </w:t>
      </w:r>
    </w:p>
    <w:p w14:paraId="6836E610" w14:textId="37ED4962" w:rsidR="009D35E9" w:rsidRPr="00091301" w:rsidRDefault="009D35E9" w:rsidP="009D35E9">
      <w:pPr>
        <w:pStyle w:val="Cmqheading2"/>
        <w:spacing w:line="264" w:lineRule="auto"/>
        <w:rPr>
          <w:color w:val="auto"/>
        </w:rPr>
      </w:pPr>
      <w:bookmarkStart w:id="1" w:name="_Hlk97127842"/>
      <w:r w:rsidRPr="00091301">
        <w:rPr>
          <w:color w:val="auto"/>
        </w:rPr>
        <w:t xml:space="preserve">Advice on </w:t>
      </w:r>
      <w:r w:rsidR="00ED0C12">
        <w:rPr>
          <w:color w:val="auto"/>
        </w:rPr>
        <w:t>applications</w:t>
      </w:r>
      <w:r w:rsidRPr="00091301">
        <w:rPr>
          <w:color w:val="auto"/>
        </w:rPr>
        <w:t xml:space="preserve"> – </w:t>
      </w:r>
      <w:r w:rsidR="00034B85">
        <w:rPr>
          <w:color w:val="auto"/>
        </w:rPr>
        <w:t>COMMERCIAL</w:t>
      </w:r>
      <w:r w:rsidRPr="00091301">
        <w:rPr>
          <w:color w:val="auto"/>
        </w:rPr>
        <w:t xml:space="preserve"> release</w:t>
      </w:r>
    </w:p>
    <w:bookmarkEnd w:id="1"/>
    <w:p w14:paraId="05D2FF4C" w14:textId="75202C4E" w:rsidR="009D35E9" w:rsidRPr="00091301" w:rsidRDefault="00034B85" w:rsidP="00270F68">
      <w:pPr>
        <w:pStyle w:val="Cmqheading3"/>
        <w:spacing w:line="264" w:lineRule="auto"/>
        <w:ind w:left="1077" w:hanging="1077"/>
        <w:rPr>
          <w:bCs/>
          <w:color w:val="auto"/>
        </w:rPr>
      </w:pPr>
      <w:r>
        <w:fldChar w:fldCharType="begin"/>
      </w:r>
      <w:r>
        <w:instrText xml:space="preserve"> HYPERLINK "https://www.ogtr.gov.au/gmo-dealings/dealings-involving-intentional-release/dir-190" </w:instrText>
      </w:r>
      <w:r>
        <w:fldChar w:fldCharType="separate"/>
      </w:r>
      <w:r w:rsidR="009D35E9" w:rsidRPr="00034B85">
        <w:rPr>
          <w:rStyle w:val="Hyperlink"/>
        </w:rPr>
        <w:t xml:space="preserve">DIR </w:t>
      </w:r>
      <w:r w:rsidRPr="00034B85">
        <w:rPr>
          <w:rStyle w:val="Hyperlink"/>
        </w:rPr>
        <w:t>190</w:t>
      </w:r>
      <w:r>
        <w:fldChar w:fldCharType="end"/>
      </w:r>
      <w:r w:rsidR="009D35E9" w:rsidRPr="00091301">
        <w:rPr>
          <w:color w:val="auto"/>
        </w:rPr>
        <w:t xml:space="preserve"> – </w:t>
      </w:r>
      <w:r>
        <w:rPr>
          <w:bCs/>
          <w:color w:val="auto"/>
        </w:rPr>
        <w:t xml:space="preserve">Commercial </w:t>
      </w:r>
      <w:r w:rsidR="009D35E9" w:rsidRPr="00091301">
        <w:rPr>
          <w:bCs/>
          <w:color w:val="auto"/>
        </w:rPr>
        <w:t xml:space="preserve">release of </w:t>
      </w:r>
      <w:r>
        <w:rPr>
          <w:bCs/>
          <w:color w:val="auto"/>
        </w:rPr>
        <w:t xml:space="preserve">Indian mustard </w:t>
      </w:r>
      <w:r w:rsidR="009D35E9" w:rsidRPr="00091301">
        <w:rPr>
          <w:bCs/>
          <w:color w:val="auto"/>
        </w:rPr>
        <w:t>genetically modified for</w:t>
      </w:r>
      <w:r>
        <w:rPr>
          <w:bCs/>
          <w:color w:val="auto"/>
        </w:rPr>
        <w:t xml:space="preserve"> herbicide</w:t>
      </w:r>
      <w:r w:rsidR="009D35E9" w:rsidRPr="00091301">
        <w:rPr>
          <w:bCs/>
          <w:color w:val="auto"/>
        </w:rPr>
        <w:t xml:space="preserve"> tolerance </w:t>
      </w:r>
    </w:p>
    <w:p w14:paraId="67F60A4B" w14:textId="6B9A166C" w:rsidR="00E003FF" w:rsidRPr="004416F9" w:rsidRDefault="009D35E9" w:rsidP="004416F9">
      <w:pPr>
        <w:pStyle w:val="BodyText"/>
        <w:rPr>
          <w:rFonts w:ascii="Arial" w:hAnsi="Arial" w:cs="Arial"/>
        </w:rPr>
      </w:pPr>
      <w:r w:rsidRPr="00091301">
        <w:rPr>
          <w:rFonts w:ascii="Arial" w:hAnsi="Arial" w:cs="Arial"/>
        </w:rPr>
        <w:t>Licence application DIR 1</w:t>
      </w:r>
      <w:r w:rsidR="00034B85">
        <w:rPr>
          <w:rFonts w:ascii="Arial" w:hAnsi="Arial" w:cs="Arial"/>
        </w:rPr>
        <w:t>90</w:t>
      </w:r>
      <w:r w:rsidRPr="00091301">
        <w:rPr>
          <w:rFonts w:ascii="Arial" w:hAnsi="Arial" w:cs="Arial"/>
        </w:rPr>
        <w:t xml:space="preserve"> from </w:t>
      </w:r>
      <w:r w:rsidR="00034B85" w:rsidRPr="00034B85">
        <w:rPr>
          <w:rFonts w:ascii="Arial" w:hAnsi="Arial" w:cs="Arial"/>
        </w:rPr>
        <w:t xml:space="preserve">BASF Australia Ltd </w:t>
      </w:r>
      <w:r w:rsidRPr="00091301">
        <w:rPr>
          <w:rFonts w:ascii="Arial" w:hAnsi="Arial" w:cs="Arial"/>
        </w:rPr>
        <w:t xml:space="preserve">is for </w:t>
      </w:r>
      <w:r w:rsidR="00034B85">
        <w:rPr>
          <w:rFonts w:ascii="Arial" w:hAnsi="Arial" w:cs="Arial"/>
        </w:rPr>
        <w:t xml:space="preserve">commercial cultivation </w:t>
      </w:r>
      <w:r w:rsidR="00371AF4" w:rsidRPr="00091301">
        <w:rPr>
          <w:rFonts w:ascii="Arial" w:hAnsi="Arial" w:cs="Arial"/>
        </w:rPr>
        <w:t>of</w:t>
      </w:r>
      <w:r w:rsidRPr="00091301">
        <w:rPr>
          <w:rFonts w:ascii="Arial" w:hAnsi="Arial" w:cs="Arial"/>
        </w:rPr>
        <w:t xml:space="preserve"> genetically modified (GM) </w:t>
      </w:r>
      <w:r w:rsidR="00034B85">
        <w:rPr>
          <w:rFonts w:ascii="Arial" w:hAnsi="Arial" w:cs="Arial"/>
        </w:rPr>
        <w:t>Indian mustard</w:t>
      </w:r>
      <w:r w:rsidR="00371AF4" w:rsidRPr="00091301">
        <w:rPr>
          <w:rFonts w:ascii="Arial" w:hAnsi="Arial" w:cs="Arial"/>
        </w:rPr>
        <w:t xml:space="preserve"> containing genes</w:t>
      </w:r>
      <w:r w:rsidR="00C9753E" w:rsidRPr="00091301">
        <w:rPr>
          <w:rFonts w:ascii="Arial" w:hAnsi="Arial" w:cs="Arial"/>
        </w:rPr>
        <w:t xml:space="preserve"> for </w:t>
      </w:r>
      <w:r w:rsidR="00034B85">
        <w:rPr>
          <w:rFonts w:ascii="Arial" w:hAnsi="Arial" w:cs="Arial"/>
        </w:rPr>
        <w:t xml:space="preserve">herbicide tolerance. </w:t>
      </w:r>
      <w:r w:rsidR="00034B85" w:rsidRPr="00034B85">
        <w:rPr>
          <w:rFonts w:ascii="Arial" w:hAnsi="Arial" w:cs="Arial"/>
        </w:rPr>
        <w:t>BASF is seeking approval to commercially grow the GM Indian mustard Australia-wide, in all Indian mustard growing areas. The GM Indian mustard and its products would enter general commerce, including use in human food and animal feed.</w:t>
      </w:r>
      <w:r w:rsidR="0027799F">
        <w:rPr>
          <w:rFonts w:ascii="Arial" w:hAnsi="Arial" w:cs="Arial"/>
        </w:rPr>
        <w:t xml:space="preserve"> </w:t>
      </w:r>
      <w:r w:rsidR="0027799F" w:rsidRPr="0027799F">
        <w:rPr>
          <w:rFonts w:ascii="Arial" w:hAnsi="Arial" w:cs="Arial"/>
        </w:rPr>
        <w:t>The OGTR is preparing a R</w:t>
      </w:r>
      <w:r w:rsidR="0027799F">
        <w:rPr>
          <w:rFonts w:ascii="Arial" w:hAnsi="Arial" w:cs="Arial"/>
        </w:rPr>
        <w:t>ARMP</w:t>
      </w:r>
      <w:r w:rsidR="0027799F" w:rsidRPr="0027799F">
        <w:rPr>
          <w:rFonts w:ascii="Arial" w:hAnsi="Arial" w:cs="Arial"/>
        </w:rPr>
        <w:t xml:space="preserve"> for the application</w:t>
      </w:r>
      <w:r w:rsidR="0027799F">
        <w:rPr>
          <w:rFonts w:ascii="Arial" w:hAnsi="Arial" w:cs="Arial"/>
        </w:rPr>
        <w:t xml:space="preserve"> </w:t>
      </w:r>
      <w:r w:rsidR="0027799F" w:rsidRPr="0027799F">
        <w:rPr>
          <w:rFonts w:ascii="Arial" w:hAnsi="Arial" w:cs="Arial"/>
        </w:rPr>
        <w:t xml:space="preserve">expected to be released for public comment and advice from experts, </w:t>
      </w:r>
      <w:r w:rsidR="00270F68" w:rsidRPr="0027799F">
        <w:rPr>
          <w:rFonts w:ascii="Arial" w:hAnsi="Arial" w:cs="Arial"/>
        </w:rPr>
        <w:t>agencies,</w:t>
      </w:r>
      <w:r w:rsidR="0027799F" w:rsidRPr="0027799F">
        <w:rPr>
          <w:rFonts w:ascii="Arial" w:hAnsi="Arial" w:cs="Arial"/>
        </w:rPr>
        <w:t xml:space="preserve"> and authorities in July 2022.</w:t>
      </w:r>
    </w:p>
    <w:p w14:paraId="13E3149D" w14:textId="6D7A10F6" w:rsidR="009D35E9" w:rsidRPr="00091301" w:rsidRDefault="009D35E9" w:rsidP="00C13D2D">
      <w:pPr>
        <w:pStyle w:val="BodyText"/>
        <w:keepNext/>
        <w:rPr>
          <w:rFonts w:ascii="Arial" w:hAnsi="Arial" w:cs="Arial"/>
        </w:rPr>
      </w:pPr>
      <w:bookmarkStart w:id="2" w:name="_Hlk97128518"/>
      <w:r w:rsidRPr="00091301">
        <w:rPr>
          <w:rFonts w:ascii="Arial" w:hAnsi="Arial" w:cs="Arial"/>
        </w:rPr>
        <w:lastRenderedPageBreak/>
        <w:t>GTTAC discussed the following key topic</w:t>
      </w:r>
      <w:r w:rsidR="00DD5F7F">
        <w:rPr>
          <w:rFonts w:ascii="Arial" w:hAnsi="Arial" w:cs="Arial"/>
        </w:rPr>
        <w:t>/</w:t>
      </w:r>
      <w:r w:rsidRPr="00091301">
        <w:rPr>
          <w:rFonts w:ascii="Arial" w:hAnsi="Arial" w:cs="Arial"/>
        </w:rPr>
        <w:t>s:</w:t>
      </w:r>
    </w:p>
    <w:p w14:paraId="5B1468E4" w14:textId="59907550" w:rsidR="0027799F" w:rsidRDefault="00AD0055" w:rsidP="009D35E9">
      <w:pPr>
        <w:pStyle w:val="BodyText"/>
        <w:numPr>
          <w:ilvl w:val="0"/>
          <w:numId w:val="5"/>
        </w:numPr>
        <w:spacing w:before="0"/>
        <w:ind w:left="533" w:hanging="357"/>
        <w:rPr>
          <w:rFonts w:ascii="Arial" w:hAnsi="Arial" w:cs="Arial"/>
        </w:rPr>
      </w:pPr>
      <w:bookmarkStart w:id="3" w:name="_Hlk97128535"/>
      <w:r w:rsidRPr="00091301">
        <w:rPr>
          <w:rFonts w:ascii="Arial" w:hAnsi="Arial" w:cs="Arial"/>
        </w:rPr>
        <w:t xml:space="preserve">the </w:t>
      </w:r>
      <w:r w:rsidR="0027799F">
        <w:rPr>
          <w:rFonts w:ascii="Arial" w:hAnsi="Arial" w:cs="Arial"/>
        </w:rPr>
        <w:t xml:space="preserve">international status of the commercial approval of the GM Indian mustard and of GM </w:t>
      </w:r>
      <w:r w:rsidR="008F5B7A">
        <w:rPr>
          <w:rFonts w:ascii="Arial" w:hAnsi="Arial" w:cs="Arial"/>
        </w:rPr>
        <w:t>c</w:t>
      </w:r>
      <w:r w:rsidR="0027799F">
        <w:rPr>
          <w:rFonts w:ascii="Arial" w:hAnsi="Arial" w:cs="Arial"/>
        </w:rPr>
        <w:t xml:space="preserve">anola with the same </w:t>
      </w:r>
      <w:r w:rsidR="009C1E39">
        <w:rPr>
          <w:rFonts w:ascii="Arial" w:hAnsi="Arial" w:cs="Arial"/>
        </w:rPr>
        <w:t xml:space="preserve">transformation </w:t>
      </w:r>
      <w:r w:rsidR="0027799F">
        <w:rPr>
          <w:rFonts w:ascii="Arial" w:hAnsi="Arial" w:cs="Arial"/>
        </w:rPr>
        <w:t>event</w:t>
      </w:r>
    </w:p>
    <w:bookmarkEnd w:id="2"/>
    <w:bookmarkEnd w:id="3"/>
    <w:p w14:paraId="0C2238FC" w14:textId="73EB4440" w:rsidR="0027799F" w:rsidRDefault="00270F68" w:rsidP="009D35E9">
      <w:pPr>
        <w:pStyle w:val="BodyText"/>
        <w:numPr>
          <w:ilvl w:val="0"/>
          <w:numId w:val="5"/>
        </w:numPr>
        <w:spacing w:before="0"/>
        <w:ind w:left="533" w:hanging="357"/>
        <w:rPr>
          <w:rFonts w:ascii="Arial" w:hAnsi="Arial" w:cs="Arial"/>
        </w:rPr>
      </w:pPr>
      <w:r>
        <w:rPr>
          <w:rFonts w:ascii="Arial" w:hAnsi="Arial" w:cs="Arial"/>
        </w:rPr>
        <w:t xml:space="preserve">the range of natural variability </w:t>
      </w:r>
      <w:r w:rsidR="000A6EEA">
        <w:rPr>
          <w:rFonts w:ascii="Arial" w:hAnsi="Arial" w:cs="Arial"/>
        </w:rPr>
        <w:t xml:space="preserve">of Indian mustard varieties, as </w:t>
      </w:r>
      <w:r>
        <w:rPr>
          <w:rFonts w:ascii="Arial" w:hAnsi="Arial" w:cs="Arial"/>
        </w:rPr>
        <w:t xml:space="preserve">provided in the application for </w:t>
      </w:r>
      <w:r w:rsidR="0027799F">
        <w:rPr>
          <w:rFonts w:ascii="Arial" w:hAnsi="Arial" w:cs="Arial"/>
        </w:rPr>
        <w:t>comparison with the GM Indian mustard</w:t>
      </w:r>
    </w:p>
    <w:p w14:paraId="4929261D" w14:textId="6F11F637" w:rsidR="009D35E9" w:rsidRPr="0027799F" w:rsidRDefault="0027799F" w:rsidP="0027799F">
      <w:pPr>
        <w:pStyle w:val="BodyText"/>
        <w:numPr>
          <w:ilvl w:val="0"/>
          <w:numId w:val="5"/>
        </w:numPr>
        <w:spacing w:before="0"/>
        <w:ind w:left="533" w:hanging="357"/>
        <w:rPr>
          <w:rFonts w:ascii="Arial" w:hAnsi="Arial" w:cs="Arial"/>
        </w:rPr>
      </w:pPr>
      <w:r>
        <w:rPr>
          <w:rFonts w:ascii="Arial" w:hAnsi="Arial" w:cs="Arial"/>
        </w:rPr>
        <w:t xml:space="preserve">the </w:t>
      </w:r>
      <w:r w:rsidR="009C1E39">
        <w:rPr>
          <w:rFonts w:ascii="Arial" w:hAnsi="Arial" w:cs="Arial"/>
        </w:rPr>
        <w:t xml:space="preserve">cropping environments for Indian mustard and </w:t>
      </w:r>
      <w:r w:rsidR="008F5B7A">
        <w:rPr>
          <w:rFonts w:ascii="Arial" w:hAnsi="Arial" w:cs="Arial"/>
        </w:rPr>
        <w:t>c</w:t>
      </w:r>
      <w:r w:rsidR="009C1E39">
        <w:rPr>
          <w:rFonts w:ascii="Arial" w:hAnsi="Arial" w:cs="Arial"/>
        </w:rPr>
        <w:t>anola</w:t>
      </w:r>
      <w:r w:rsidR="000A6EEA">
        <w:rPr>
          <w:rFonts w:ascii="Arial" w:hAnsi="Arial" w:cs="Arial"/>
        </w:rPr>
        <w:t>.</w:t>
      </w:r>
    </w:p>
    <w:tbl>
      <w:tblPr>
        <w:tblStyle w:val="TableGrid"/>
        <w:tblW w:w="9639" w:type="dxa"/>
        <w:tblInd w:w="-5" w:type="dxa"/>
        <w:tblLook w:val="04A0" w:firstRow="1" w:lastRow="0" w:firstColumn="1" w:lastColumn="0" w:noHBand="0" w:noVBand="1"/>
        <w:tblCaption w:val="Resolutions"/>
      </w:tblPr>
      <w:tblGrid>
        <w:gridCol w:w="9639"/>
      </w:tblGrid>
      <w:tr w:rsidR="0074309F" w:rsidRPr="00091301" w14:paraId="4F8C085A" w14:textId="77777777" w:rsidTr="0044644B">
        <w:trPr>
          <w:tblHeader/>
        </w:trPr>
        <w:tc>
          <w:tcPr>
            <w:tcW w:w="9639" w:type="dxa"/>
          </w:tcPr>
          <w:p w14:paraId="4AA7FBE1" w14:textId="74B098E7" w:rsidR="009D35E9" w:rsidRPr="00091301" w:rsidRDefault="009D35E9" w:rsidP="00C715A3">
            <w:pPr>
              <w:pStyle w:val="Cmqheading3"/>
              <w:spacing w:before="0" w:line="264" w:lineRule="auto"/>
              <w:ind w:left="0" w:firstLine="0"/>
              <w:rPr>
                <w:color w:val="auto"/>
              </w:rPr>
            </w:pPr>
            <w:r w:rsidRPr="00091301">
              <w:rPr>
                <w:color w:val="auto"/>
              </w:rPr>
              <w:t xml:space="preserve">Resolution </w:t>
            </w:r>
          </w:p>
          <w:p w14:paraId="04731F7F" w14:textId="1B0966FD" w:rsidR="009D35E9" w:rsidRPr="0027799F" w:rsidRDefault="00C9753E" w:rsidP="0027799F">
            <w:pPr>
              <w:pStyle w:val="ListParagraph"/>
              <w:numPr>
                <w:ilvl w:val="0"/>
                <w:numId w:val="4"/>
              </w:numPr>
              <w:spacing w:after="0"/>
              <w:contextualSpacing w:val="0"/>
              <w:rPr>
                <w:rFonts w:ascii="Arial" w:eastAsiaTheme="minorHAnsi" w:hAnsi="Arial" w:cs="Arial"/>
              </w:rPr>
            </w:pPr>
            <w:r w:rsidRPr="00091301">
              <w:rPr>
                <w:rFonts w:ascii="Arial" w:hAnsi="Arial" w:cs="Arial"/>
              </w:rPr>
              <w:t xml:space="preserve">The Committee agreed </w:t>
            </w:r>
            <w:r w:rsidR="0027799F">
              <w:rPr>
                <w:rFonts w:ascii="Arial" w:hAnsi="Arial" w:cs="Arial"/>
              </w:rPr>
              <w:t xml:space="preserve">that the matters identified by the office should be considered when preparing </w:t>
            </w:r>
            <w:r w:rsidRPr="00091301">
              <w:rPr>
                <w:rFonts w:ascii="Arial" w:hAnsi="Arial" w:cs="Arial"/>
              </w:rPr>
              <w:t>the RARMP</w:t>
            </w:r>
            <w:r w:rsidR="0027799F">
              <w:rPr>
                <w:rFonts w:ascii="Arial" w:hAnsi="Arial" w:cs="Arial"/>
              </w:rPr>
              <w:t>.</w:t>
            </w:r>
          </w:p>
        </w:tc>
      </w:tr>
    </w:tbl>
    <w:p w14:paraId="22C2CD73" w14:textId="77777777" w:rsidR="00E02999" w:rsidRPr="00E02999" w:rsidRDefault="00E02999" w:rsidP="00C603A1">
      <w:pPr>
        <w:pStyle w:val="CmqHeading1"/>
      </w:pPr>
      <w:r w:rsidRPr="00E02999">
        <w:t>GMO register</w:t>
      </w:r>
    </w:p>
    <w:p w14:paraId="2650682E" w14:textId="77777777" w:rsidR="00E02999" w:rsidRPr="00091301" w:rsidRDefault="00E02999" w:rsidP="00E02999">
      <w:pPr>
        <w:pStyle w:val="BodyText"/>
        <w:rPr>
          <w:rFonts w:ascii="Arial" w:hAnsi="Arial" w:cs="Arial"/>
        </w:rPr>
      </w:pPr>
      <w:r>
        <w:rPr>
          <w:rFonts w:ascii="Arial" w:hAnsi="Arial" w:cs="Arial"/>
        </w:rPr>
        <w:t xml:space="preserve">The GMO Register lists activities with approved GMOs that can be safely carried out by anyone, without needing a licence. </w:t>
      </w:r>
      <w:r w:rsidRPr="00724223">
        <w:rPr>
          <w:rFonts w:ascii="Arial" w:hAnsi="Arial" w:cs="Arial"/>
        </w:rPr>
        <w:t>Dealings with a GMO may be entered on the GMO Register when</w:t>
      </w:r>
      <w:r>
        <w:rPr>
          <w:rFonts w:ascii="Arial" w:hAnsi="Arial" w:cs="Arial"/>
        </w:rPr>
        <w:t xml:space="preserve"> </w:t>
      </w:r>
      <w:r w:rsidRPr="00724223">
        <w:rPr>
          <w:rFonts w:ascii="Arial" w:hAnsi="Arial" w:cs="Arial"/>
        </w:rPr>
        <w:t>they have been licensed</w:t>
      </w:r>
      <w:r>
        <w:rPr>
          <w:rFonts w:ascii="Arial" w:hAnsi="Arial" w:cs="Arial"/>
        </w:rPr>
        <w:t xml:space="preserve">; and </w:t>
      </w:r>
      <w:r w:rsidRPr="00724223">
        <w:rPr>
          <w:rFonts w:ascii="Arial" w:hAnsi="Arial" w:cs="Arial"/>
        </w:rPr>
        <w:t>the Regulator is satisfied the dealings are sufficiently safe to be undertaken by anyone without the need for oversight by the licence holder.</w:t>
      </w:r>
      <w:r>
        <w:rPr>
          <w:rFonts w:ascii="Arial" w:hAnsi="Arial" w:cs="Arial"/>
        </w:rPr>
        <w:t xml:space="preserve"> The Regulator may choose to seek advice from GTTAC on any entry to the GMO Register.</w:t>
      </w:r>
    </w:p>
    <w:p w14:paraId="4E15406D" w14:textId="728887B9" w:rsidR="004416F9" w:rsidRPr="004416F9" w:rsidRDefault="006F725F" w:rsidP="004416F9">
      <w:pPr>
        <w:pStyle w:val="Cmqheading2"/>
        <w:spacing w:line="264" w:lineRule="auto"/>
        <w:rPr>
          <w:color w:val="auto"/>
        </w:rPr>
      </w:pPr>
      <w:r w:rsidRPr="00091301">
        <w:rPr>
          <w:color w:val="auto"/>
        </w:rPr>
        <w:t xml:space="preserve">Advice on consultation rarmps – </w:t>
      </w:r>
      <w:r w:rsidR="00E02999">
        <w:rPr>
          <w:color w:val="auto"/>
        </w:rPr>
        <w:t>inclusion on</w:t>
      </w:r>
      <w:r w:rsidR="004416F9">
        <w:rPr>
          <w:color w:val="auto"/>
        </w:rPr>
        <w:t xml:space="preserve"> GMO REGISTER </w:t>
      </w:r>
    </w:p>
    <w:p w14:paraId="4A57CB66" w14:textId="748CBC2F" w:rsidR="009D35E9" w:rsidRPr="00091301" w:rsidRDefault="00127ED1" w:rsidP="00270F68">
      <w:pPr>
        <w:pStyle w:val="Cmqheading3"/>
        <w:spacing w:line="264" w:lineRule="auto"/>
        <w:ind w:left="1588" w:hanging="1588"/>
        <w:rPr>
          <w:bCs/>
          <w:color w:val="auto"/>
        </w:rPr>
      </w:pPr>
      <w:hyperlink r:id="rId7" w:history="1">
        <w:r w:rsidR="004416F9" w:rsidRPr="004416F9">
          <w:rPr>
            <w:rStyle w:val="Hyperlink"/>
          </w:rPr>
          <w:t>Register 003</w:t>
        </w:r>
      </w:hyperlink>
      <w:r w:rsidR="004416F9">
        <w:rPr>
          <w:color w:val="auto"/>
        </w:rPr>
        <w:t xml:space="preserve"> </w:t>
      </w:r>
      <w:r w:rsidR="009D35E9" w:rsidRPr="00091301">
        <w:rPr>
          <w:color w:val="auto"/>
        </w:rPr>
        <w:t xml:space="preserve">– </w:t>
      </w:r>
      <w:r w:rsidR="004416F9" w:rsidRPr="004416F9">
        <w:rPr>
          <w:bCs/>
          <w:color w:val="auto"/>
        </w:rPr>
        <w:t xml:space="preserve">Inclusion of dealings with </w:t>
      </w:r>
      <w:bookmarkStart w:id="4" w:name="_Hlk97128246"/>
      <w:r w:rsidR="004416F9" w:rsidRPr="004416F9">
        <w:rPr>
          <w:bCs/>
          <w:color w:val="auto"/>
        </w:rPr>
        <w:t xml:space="preserve">MON-ØØØ73-7 canola, </w:t>
      </w:r>
      <w:bookmarkEnd w:id="4"/>
      <w:r w:rsidR="004416F9" w:rsidRPr="004416F9">
        <w:rPr>
          <w:bCs/>
          <w:color w:val="auto"/>
        </w:rPr>
        <w:t>genetically modified for</w:t>
      </w:r>
      <w:r w:rsidR="00AA4BA2">
        <w:rPr>
          <w:bCs/>
          <w:color w:val="auto"/>
        </w:rPr>
        <w:t xml:space="preserve"> </w:t>
      </w:r>
      <w:r w:rsidR="004416F9" w:rsidRPr="004416F9">
        <w:rPr>
          <w:bCs/>
          <w:color w:val="auto"/>
        </w:rPr>
        <w:t>herbicide tolerance, on the GMO Register</w:t>
      </w:r>
      <w:r w:rsidR="004416F9" w:rsidRPr="004416F9">
        <w:rPr>
          <w:color w:val="auto"/>
        </w:rPr>
        <w:t xml:space="preserve"> </w:t>
      </w:r>
    </w:p>
    <w:p w14:paraId="6FC7DD41" w14:textId="7B97CFC4" w:rsidR="004416F9" w:rsidRDefault="004416F9" w:rsidP="00A53221">
      <w:pPr>
        <w:pStyle w:val="BodyText"/>
        <w:rPr>
          <w:rFonts w:ascii="Arial" w:hAnsi="Arial" w:cs="Arial"/>
        </w:rPr>
      </w:pPr>
      <w:r w:rsidRPr="004416F9">
        <w:rPr>
          <w:rFonts w:ascii="Arial" w:hAnsi="Arial" w:cs="Arial"/>
        </w:rPr>
        <w:t>The Regulator has initiated a process to consider including dealings with MON</w:t>
      </w:r>
      <w:r>
        <w:rPr>
          <w:rFonts w:ascii="Arial" w:hAnsi="Arial" w:cs="Arial"/>
        </w:rPr>
        <w:noBreakHyphen/>
      </w:r>
      <w:r w:rsidRPr="004416F9">
        <w:rPr>
          <w:rFonts w:ascii="Arial" w:hAnsi="Arial" w:cs="Arial"/>
        </w:rPr>
        <w:t>ØØØ73-7 (also known as Roundup Ready®) canola genetically modified for herbicide tolerance on the GMO Register. The dealings have been authorised under licence DIR 020/2002 since 2003.</w:t>
      </w:r>
      <w:r w:rsidR="009B338B">
        <w:rPr>
          <w:rFonts w:ascii="Arial" w:hAnsi="Arial" w:cs="Arial"/>
        </w:rPr>
        <w:t xml:space="preserve"> A consultation version of a RARMP is available for public comment until 31 March 2022.</w:t>
      </w:r>
    </w:p>
    <w:p w14:paraId="420CA786" w14:textId="63210175" w:rsidR="0074309F" w:rsidRPr="00AE26D5" w:rsidRDefault="00AE26D5" w:rsidP="006766FD">
      <w:pPr>
        <w:pStyle w:val="BodyText"/>
        <w:rPr>
          <w:rFonts w:ascii="Arial" w:hAnsi="Arial" w:cs="Arial"/>
        </w:rPr>
      </w:pPr>
      <w:r w:rsidRPr="00AE26D5">
        <w:rPr>
          <w:rFonts w:ascii="Arial" w:hAnsi="Arial" w:cs="Arial"/>
        </w:rPr>
        <w:t xml:space="preserve">GTTAC discussed the </w:t>
      </w:r>
      <w:r w:rsidR="00E02999">
        <w:rPr>
          <w:rFonts w:ascii="Arial" w:hAnsi="Arial" w:cs="Arial"/>
        </w:rPr>
        <w:t>RARMP and agreed to the following resolutions:</w:t>
      </w:r>
    </w:p>
    <w:tbl>
      <w:tblPr>
        <w:tblStyle w:val="TableGrid"/>
        <w:tblW w:w="9639" w:type="dxa"/>
        <w:tblInd w:w="-5" w:type="dxa"/>
        <w:tblLook w:val="04A0" w:firstRow="1" w:lastRow="0" w:firstColumn="1" w:lastColumn="0" w:noHBand="0" w:noVBand="1"/>
        <w:tblCaption w:val="Resolutions"/>
      </w:tblPr>
      <w:tblGrid>
        <w:gridCol w:w="9639"/>
      </w:tblGrid>
      <w:tr w:rsidR="0074309F" w:rsidRPr="00091301" w14:paraId="61E7C26B" w14:textId="77777777" w:rsidTr="00A7450A">
        <w:trPr>
          <w:tblHeader/>
        </w:trPr>
        <w:tc>
          <w:tcPr>
            <w:tcW w:w="9639" w:type="dxa"/>
          </w:tcPr>
          <w:p w14:paraId="6B0C7C64" w14:textId="77777777" w:rsidR="00A53221" w:rsidRPr="00091301" w:rsidRDefault="00A53221" w:rsidP="00091301">
            <w:pPr>
              <w:pStyle w:val="Cmqheading3"/>
              <w:spacing w:before="0" w:line="264" w:lineRule="auto"/>
              <w:ind w:left="0" w:firstLine="0"/>
              <w:rPr>
                <w:color w:val="auto"/>
              </w:rPr>
            </w:pPr>
            <w:r w:rsidRPr="00091301">
              <w:rPr>
                <w:color w:val="auto"/>
              </w:rPr>
              <w:t xml:space="preserve">Resolutions </w:t>
            </w:r>
          </w:p>
          <w:p w14:paraId="314390D0" w14:textId="379E1A3A" w:rsidR="00AE26D5" w:rsidRPr="00AE26D5" w:rsidRDefault="00AE26D5" w:rsidP="00AE26D5">
            <w:pPr>
              <w:pStyle w:val="ListParagraph"/>
              <w:numPr>
                <w:ilvl w:val="0"/>
                <w:numId w:val="4"/>
              </w:numPr>
              <w:spacing w:after="0" w:line="264" w:lineRule="auto"/>
              <w:rPr>
                <w:rFonts w:ascii="Arial" w:eastAsiaTheme="minorHAnsi" w:hAnsi="Arial" w:cs="Arial"/>
              </w:rPr>
            </w:pPr>
            <w:r w:rsidRPr="00AE26D5">
              <w:rPr>
                <w:rFonts w:ascii="Arial" w:eastAsiaTheme="minorHAnsi" w:hAnsi="Arial" w:cs="Arial"/>
              </w:rPr>
              <w:t xml:space="preserve">The Committee agrees that the conclusions of all </w:t>
            </w:r>
            <w:r w:rsidR="009C1E39">
              <w:rPr>
                <w:rFonts w:ascii="Arial" w:eastAsiaTheme="minorHAnsi" w:hAnsi="Arial" w:cs="Arial"/>
              </w:rPr>
              <w:t xml:space="preserve">relevant </w:t>
            </w:r>
            <w:r w:rsidRPr="00AE26D5">
              <w:rPr>
                <w:rFonts w:ascii="Arial" w:eastAsiaTheme="minorHAnsi" w:hAnsi="Arial" w:cs="Arial"/>
              </w:rPr>
              <w:t xml:space="preserve">previous RARMPs remain valid. </w:t>
            </w:r>
          </w:p>
          <w:p w14:paraId="08173E07" w14:textId="77777777" w:rsidR="00AE26D5" w:rsidRPr="00AE26D5" w:rsidRDefault="00AE26D5" w:rsidP="00AE26D5">
            <w:pPr>
              <w:pStyle w:val="ListParagraph"/>
              <w:numPr>
                <w:ilvl w:val="0"/>
                <w:numId w:val="4"/>
              </w:numPr>
              <w:spacing w:after="0" w:line="264" w:lineRule="auto"/>
              <w:rPr>
                <w:rFonts w:ascii="Arial" w:eastAsiaTheme="minorHAnsi" w:hAnsi="Arial" w:cs="Arial"/>
              </w:rPr>
            </w:pPr>
            <w:r w:rsidRPr="00AE26D5">
              <w:rPr>
                <w:rFonts w:ascii="Arial" w:eastAsiaTheme="minorHAnsi" w:hAnsi="Arial" w:cs="Arial"/>
              </w:rPr>
              <w:t xml:space="preserve">The Committee considered that the information gathered was sufficient to identify any new risks. </w:t>
            </w:r>
          </w:p>
          <w:p w14:paraId="63F8FBFB" w14:textId="2F316C73" w:rsidR="00A53221" w:rsidRPr="00AE26D5" w:rsidRDefault="00AE26D5" w:rsidP="00AE26D5">
            <w:pPr>
              <w:pStyle w:val="ListParagraph"/>
              <w:numPr>
                <w:ilvl w:val="0"/>
                <w:numId w:val="4"/>
              </w:numPr>
              <w:spacing w:after="0" w:line="264" w:lineRule="auto"/>
              <w:rPr>
                <w:rFonts w:ascii="Arial" w:eastAsiaTheme="minorHAnsi" w:hAnsi="Arial" w:cs="Arial"/>
              </w:rPr>
            </w:pPr>
            <w:r w:rsidRPr="00AE26D5">
              <w:rPr>
                <w:rFonts w:ascii="Arial" w:eastAsiaTheme="minorHAnsi" w:hAnsi="Arial" w:cs="Arial"/>
              </w:rPr>
              <w:t xml:space="preserve">The Committee agrees with the overall conclusions of RARMP Reg-003 and that </w:t>
            </w:r>
            <w:r w:rsidR="009C1E39">
              <w:rPr>
                <w:rFonts w:ascii="Arial" w:eastAsiaTheme="minorHAnsi" w:hAnsi="Arial" w:cs="Arial"/>
              </w:rPr>
              <w:t xml:space="preserve">the </w:t>
            </w:r>
            <w:r w:rsidRPr="00AE26D5">
              <w:rPr>
                <w:rFonts w:ascii="Arial" w:eastAsiaTheme="minorHAnsi" w:hAnsi="Arial" w:cs="Arial"/>
              </w:rPr>
              <w:t>dealings pose minimal risk.</w:t>
            </w:r>
          </w:p>
        </w:tc>
      </w:tr>
    </w:tbl>
    <w:p w14:paraId="510743E4" w14:textId="77777777" w:rsidR="00E02999" w:rsidRPr="00752BF4" w:rsidRDefault="00E02999" w:rsidP="00E02999">
      <w:pPr>
        <w:pStyle w:val="CmqHeading1"/>
      </w:pPr>
      <w:r w:rsidRPr="00E02999">
        <w:t xml:space="preserve">oTHER ADVICE </w:t>
      </w:r>
    </w:p>
    <w:p w14:paraId="280C9B91" w14:textId="4B2D4AD8" w:rsidR="00AE26D5" w:rsidRDefault="009B338B" w:rsidP="009B338B">
      <w:pPr>
        <w:pStyle w:val="Cmqheading2"/>
        <w:spacing w:line="264" w:lineRule="auto"/>
        <w:rPr>
          <w:color w:val="auto"/>
        </w:rPr>
      </w:pPr>
      <w:r>
        <w:rPr>
          <w:color w:val="auto"/>
        </w:rPr>
        <w:t>ADVICE ON TECHNICAL AND PROCEDURAL GUIDELINES</w:t>
      </w:r>
    </w:p>
    <w:p w14:paraId="239D216E" w14:textId="2A8D4208" w:rsidR="009B338B" w:rsidRPr="009B338B" w:rsidRDefault="00127ED1" w:rsidP="009B338B">
      <w:pPr>
        <w:pStyle w:val="Cmqheading3"/>
        <w:spacing w:line="264" w:lineRule="auto"/>
        <w:ind w:left="0" w:firstLine="0"/>
        <w:rPr>
          <w:bCs/>
          <w:color w:val="auto"/>
        </w:rPr>
      </w:pPr>
      <w:hyperlink r:id="rId8" w:history="1">
        <w:r w:rsidR="009B338B" w:rsidRPr="00AA4BA2">
          <w:rPr>
            <w:rStyle w:val="Hyperlink"/>
            <w:bCs/>
          </w:rPr>
          <w:t>PC3 Certification Guidelines</w:t>
        </w:r>
      </w:hyperlink>
    </w:p>
    <w:p w14:paraId="7711FF46" w14:textId="3B61ED11" w:rsidR="009B338B" w:rsidRDefault="009B338B" w:rsidP="009B338B">
      <w:pPr>
        <w:pStyle w:val="BodyText"/>
        <w:rPr>
          <w:rFonts w:ascii="Arial" w:hAnsi="Arial"/>
        </w:rPr>
      </w:pPr>
      <w:r>
        <w:rPr>
          <w:rFonts w:ascii="Arial" w:hAnsi="Arial"/>
        </w:rPr>
        <w:t xml:space="preserve">The Regulator has initiated a review of PC3 Certification Guidelines. These Guidelines </w:t>
      </w:r>
      <w:r w:rsidR="00FA3A0B">
        <w:rPr>
          <w:rFonts w:ascii="Arial" w:hAnsi="Arial"/>
        </w:rPr>
        <w:t>set out the requirements</w:t>
      </w:r>
      <w:r>
        <w:rPr>
          <w:rFonts w:ascii="Arial" w:hAnsi="Arial"/>
        </w:rPr>
        <w:t xml:space="preserve"> for the certification of Physical Containment Level 3 (PC3) facilities</w:t>
      </w:r>
      <w:r w:rsidR="00082892">
        <w:rPr>
          <w:rFonts w:ascii="Arial" w:hAnsi="Arial"/>
        </w:rPr>
        <w:t>. The new Guidelines are simplified into a modular form with supplementary guidance material</w:t>
      </w:r>
      <w:r w:rsidR="00DD5F7F">
        <w:rPr>
          <w:rFonts w:ascii="Arial" w:hAnsi="Arial"/>
        </w:rPr>
        <w:t>.</w:t>
      </w:r>
    </w:p>
    <w:p w14:paraId="18A51306" w14:textId="07AE4D8F" w:rsidR="009B338B" w:rsidRPr="00AE26D5" w:rsidRDefault="009B338B" w:rsidP="006766FD">
      <w:pPr>
        <w:pStyle w:val="BodyText"/>
        <w:rPr>
          <w:rFonts w:ascii="Arial" w:hAnsi="Arial" w:cs="Arial"/>
        </w:rPr>
      </w:pPr>
      <w:r w:rsidRPr="00AE26D5">
        <w:rPr>
          <w:rFonts w:ascii="Arial" w:hAnsi="Arial" w:cs="Arial"/>
        </w:rPr>
        <w:t xml:space="preserve">GTTAC </w:t>
      </w:r>
      <w:r w:rsidR="00EF2CF2">
        <w:rPr>
          <w:rFonts w:ascii="Arial" w:hAnsi="Arial" w:cs="Arial"/>
        </w:rPr>
        <w:t>commended the OGTR on the review of the Guidelines and</w:t>
      </w:r>
      <w:r w:rsidR="00EF2CF2" w:rsidRPr="00AE26D5">
        <w:rPr>
          <w:rFonts w:ascii="Arial" w:hAnsi="Arial" w:cs="Arial"/>
        </w:rPr>
        <w:t xml:space="preserve"> </w:t>
      </w:r>
      <w:r w:rsidRPr="00AE26D5">
        <w:rPr>
          <w:rFonts w:ascii="Arial" w:hAnsi="Arial" w:cs="Arial"/>
        </w:rPr>
        <w:t xml:space="preserve">discussed </w:t>
      </w:r>
      <w:r w:rsidR="00752BF4">
        <w:rPr>
          <w:rFonts w:ascii="Arial" w:hAnsi="Arial" w:cs="Arial"/>
        </w:rPr>
        <w:t>some technical aspects regarding decontamination requirements.</w:t>
      </w:r>
    </w:p>
    <w:tbl>
      <w:tblPr>
        <w:tblStyle w:val="TableGrid"/>
        <w:tblW w:w="9639" w:type="dxa"/>
        <w:tblInd w:w="-5" w:type="dxa"/>
        <w:tblLook w:val="04A0" w:firstRow="1" w:lastRow="0" w:firstColumn="1" w:lastColumn="0" w:noHBand="0" w:noVBand="1"/>
        <w:tblCaption w:val="Resolutions"/>
      </w:tblPr>
      <w:tblGrid>
        <w:gridCol w:w="9639"/>
      </w:tblGrid>
      <w:tr w:rsidR="009B338B" w:rsidRPr="00091301" w14:paraId="4B26193A" w14:textId="77777777" w:rsidTr="0052409F">
        <w:trPr>
          <w:tblHeader/>
        </w:trPr>
        <w:tc>
          <w:tcPr>
            <w:tcW w:w="9639" w:type="dxa"/>
          </w:tcPr>
          <w:p w14:paraId="0FD78EBF" w14:textId="77777777" w:rsidR="009B338B" w:rsidRPr="00091301" w:rsidRDefault="009B338B" w:rsidP="0052409F">
            <w:pPr>
              <w:pStyle w:val="Cmqheading3"/>
              <w:spacing w:before="0" w:line="264" w:lineRule="auto"/>
              <w:ind w:left="0" w:firstLine="0"/>
              <w:rPr>
                <w:color w:val="auto"/>
              </w:rPr>
            </w:pPr>
            <w:r w:rsidRPr="00091301">
              <w:rPr>
                <w:color w:val="auto"/>
              </w:rPr>
              <w:lastRenderedPageBreak/>
              <w:t xml:space="preserve">Resolutions </w:t>
            </w:r>
          </w:p>
          <w:p w14:paraId="4615DC3B" w14:textId="77777777" w:rsidR="009B338B" w:rsidRPr="009B338B" w:rsidRDefault="009B338B" w:rsidP="009B338B">
            <w:pPr>
              <w:pStyle w:val="ListParagraph"/>
              <w:numPr>
                <w:ilvl w:val="0"/>
                <w:numId w:val="4"/>
              </w:numPr>
              <w:spacing w:after="0" w:line="264" w:lineRule="auto"/>
              <w:rPr>
                <w:rFonts w:ascii="Arial" w:eastAsiaTheme="minorHAnsi" w:hAnsi="Arial" w:cs="Arial"/>
              </w:rPr>
            </w:pPr>
            <w:r w:rsidRPr="009B338B">
              <w:rPr>
                <w:rFonts w:ascii="Arial" w:eastAsiaTheme="minorHAnsi" w:hAnsi="Arial" w:cs="Arial"/>
              </w:rPr>
              <w:t xml:space="preserve">The Committee suggested the Regulator further consider conditions and requirements where an anteroom may be used for decontamination. </w:t>
            </w:r>
          </w:p>
          <w:p w14:paraId="2D935B1A" w14:textId="77777777" w:rsidR="009B338B" w:rsidRDefault="009B338B" w:rsidP="009B338B">
            <w:pPr>
              <w:pStyle w:val="ListParagraph"/>
              <w:numPr>
                <w:ilvl w:val="0"/>
                <w:numId w:val="4"/>
              </w:numPr>
              <w:spacing w:after="0" w:line="264" w:lineRule="auto"/>
              <w:rPr>
                <w:rFonts w:ascii="Arial" w:eastAsiaTheme="minorHAnsi" w:hAnsi="Arial" w:cs="Arial"/>
              </w:rPr>
            </w:pPr>
            <w:r w:rsidRPr="009B338B">
              <w:rPr>
                <w:rFonts w:ascii="Arial" w:eastAsiaTheme="minorHAnsi" w:hAnsi="Arial" w:cs="Arial"/>
              </w:rPr>
              <w:t>The Regulator should consider streamlining inspection checklists when Guidelines have been finalised.</w:t>
            </w:r>
          </w:p>
          <w:p w14:paraId="5868E500" w14:textId="1C040177" w:rsidR="009C1E39" w:rsidRPr="009C1E39" w:rsidRDefault="009C1E39" w:rsidP="009C1E39">
            <w:pPr>
              <w:pStyle w:val="ListParagraph"/>
              <w:numPr>
                <w:ilvl w:val="0"/>
                <w:numId w:val="4"/>
              </w:numPr>
              <w:spacing w:after="0" w:line="264" w:lineRule="auto"/>
              <w:rPr>
                <w:rFonts w:ascii="Arial" w:eastAsiaTheme="minorHAnsi" w:hAnsi="Arial" w:cs="Arial"/>
              </w:rPr>
            </w:pPr>
            <w:r w:rsidRPr="009B338B">
              <w:rPr>
                <w:rFonts w:ascii="Arial" w:eastAsiaTheme="minorHAnsi" w:hAnsi="Arial" w:cs="Arial"/>
              </w:rPr>
              <w:t>The Committee had no further comment or suggested changes to the draft Guidelines.</w:t>
            </w:r>
          </w:p>
        </w:tc>
      </w:tr>
    </w:tbl>
    <w:p w14:paraId="5B49E486" w14:textId="4F05AEB8" w:rsidR="009D35E9" w:rsidRPr="00091301" w:rsidRDefault="009D35E9" w:rsidP="00E02999">
      <w:pPr>
        <w:pStyle w:val="CmqHeading1"/>
      </w:pPr>
      <w:r w:rsidRPr="00091301">
        <w:t>Enquiries and Risk Assessment and Risk Management Plans</w:t>
      </w:r>
    </w:p>
    <w:p w14:paraId="3CD0CB70" w14:textId="77777777" w:rsidR="009D35E9" w:rsidRPr="00091301" w:rsidRDefault="009D35E9" w:rsidP="009D35E9">
      <w:pPr>
        <w:pStyle w:val="BodyText"/>
        <w:rPr>
          <w:rFonts w:ascii="Arial" w:hAnsi="Arial" w:cs="Arial"/>
        </w:rPr>
      </w:pPr>
      <w:r w:rsidRPr="00091301">
        <w:rPr>
          <w:rFonts w:ascii="Arial" w:hAnsi="Arial" w:cs="Arial"/>
        </w:rPr>
        <w:t xml:space="preserve">For all enquiries and to obtain copies of applications or RARMPs for Dealings involving the Intentional Release (DIR) of GMOs into the environment, please call the OGTR on 1800 181 030 or email </w:t>
      </w:r>
      <w:hyperlink r:id="rId9" w:history="1">
        <w:r w:rsidRPr="00091301">
          <w:rPr>
            <w:rFonts w:ascii="Arial" w:hAnsi="Arial" w:cs="Arial"/>
            <w:u w:val="single"/>
          </w:rPr>
          <w:t>ogtr@health.gov.au</w:t>
        </w:r>
      </w:hyperlink>
      <w:r w:rsidRPr="00091301">
        <w:rPr>
          <w:rFonts w:ascii="Arial" w:hAnsi="Arial" w:cs="Arial"/>
        </w:rPr>
        <w:t xml:space="preserve">. DIR RARMPs are also available on the </w:t>
      </w:r>
      <w:hyperlink r:id="rId10" w:history="1">
        <w:r w:rsidRPr="00091301">
          <w:rPr>
            <w:rStyle w:val="Hyperlink"/>
            <w:rFonts w:ascii="Arial" w:hAnsi="Arial" w:cs="Arial"/>
            <w:color w:val="auto"/>
          </w:rPr>
          <w:t>OGTR website</w:t>
        </w:r>
      </w:hyperlink>
      <w:r w:rsidRPr="00091301">
        <w:rPr>
          <w:rFonts w:ascii="Arial" w:hAnsi="Arial" w:cs="Arial"/>
        </w:rPr>
        <w:t>.</w:t>
      </w:r>
    </w:p>
    <w:p w14:paraId="621A27E8" w14:textId="31194A9A" w:rsidR="009D35E9" w:rsidRPr="00091301" w:rsidRDefault="009D35E9" w:rsidP="009D35E9">
      <w:pPr>
        <w:spacing w:line="264" w:lineRule="auto"/>
        <w:rPr>
          <w:rFonts w:ascii="Arial" w:hAnsi="Arial" w:cs="Arial"/>
        </w:rPr>
      </w:pPr>
    </w:p>
    <w:sectPr w:rsidR="009D35E9" w:rsidRPr="00091301" w:rsidSect="00091301">
      <w:footerReference w:type="even" r:id="rId11"/>
      <w:footerReference w:type="default" r:id="rId12"/>
      <w:headerReference w:type="first" r:id="rId13"/>
      <w:footerReference w:type="first" r:id="rId14"/>
      <w:pgSz w:w="11906" w:h="16838" w:code="9"/>
      <w:pgMar w:top="1134" w:right="1134" w:bottom="1134" w:left="1134" w:header="567" w:footer="56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25A0" w14:textId="77777777" w:rsidR="000828D0" w:rsidRDefault="000828D0">
      <w:pPr>
        <w:spacing w:after="0" w:line="240" w:lineRule="auto"/>
      </w:pPr>
      <w:r>
        <w:separator/>
      </w:r>
    </w:p>
  </w:endnote>
  <w:endnote w:type="continuationSeparator" w:id="0">
    <w:p w14:paraId="279160E3" w14:textId="77777777" w:rsidR="000828D0" w:rsidRDefault="0008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6AC6" w14:textId="77777777" w:rsidR="00F32CB5" w:rsidRDefault="009D35E9" w:rsidP="002723BB">
    <w:pPr>
      <w:pStyle w:val="Footer"/>
      <w:framePr w:w="106" w:h="286" w:hRule="exact" w:wrap="around" w:vAnchor="text" w:hAnchor="page" w:x="10651" w:y="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F21555" w14:textId="77777777" w:rsidR="00F32CB5" w:rsidRDefault="00127ED1" w:rsidP="002723BB">
    <w:pPr>
      <w:pStyle w:val="Foote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F9D4" w14:textId="52AB609A" w:rsidR="00E003FF" w:rsidRDefault="00E003FF" w:rsidP="00E003FF">
    <w:pPr>
      <w:pStyle w:val="Footer"/>
      <w:spacing w:after="0"/>
      <w:jc w:val="right"/>
    </w:pPr>
    <w:r w:rsidRPr="00740B72">
      <w:rPr>
        <w:rFonts w:ascii="Arial" w:hAnsi="Arial" w:cs="Arial"/>
        <w:sz w:val="20"/>
      </w:rPr>
      <w:t>GTTAC Communiqué</w:t>
    </w:r>
    <w:r>
      <w:rPr>
        <w:rFonts w:ascii="Arial" w:hAnsi="Arial" w:cs="Arial"/>
        <w:sz w:val="20"/>
      </w:rPr>
      <w:t xml:space="preserve"> </w:t>
    </w:r>
    <w:r w:rsidR="006F725F">
      <w:rPr>
        <w:rFonts w:ascii="Arial" w:hAnsi="Arial" w:cs="Arial"/>
        <w:sz w:val="20"/>
      </w:rPr>
      <w:t>28 February</w:t>
    </w:r>
    <w:r>
      <w:rPr>
        <w:rFonts w:ascii="Arial" w:hAnsi="Arial" w:cs="Arial"/>
        <w:sz w:val="20"/>
      </w:rPr>
      <w:t xml:space="preserve"> 202</w:t>
    </w:r>
    <w:r w:rsidR="006F725F">
      <w:rPr>
        <w:rFonts w:ascii="Arial" w:hAnsi="Arial" w:cs="Arial"/>
        <w:sz w:val="20"/>
      </w:rPr>
      <w:t>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2080976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5F4B" w14:textId="73852BB9" w:rsidR="00E003FF" w:rsidRDefault="00E003FF" w:rsidP="00E003FF">
    <w:pPr>
      <w:pStyle w:val="Footer"/>
      <w:spacing w:after="0"/>
      <w:jc w:val="right"/>
    </w:pPr>
    <w:r w:rsidRPr="00740B72">
      <w:rPr>
        <w:rFonts w:ascii="Arial" w:hAnsi="Arial" w:cs="Arial"/>
        <w:sz w:val="20"/>
      </w:rPr>
      <w:t>GTTAC Communiqué</w:t>
    </w:r>
    <w:r>
      <w:rPr>
        <w:rFonts w:ascii="Arial" w:hAnsi="Arial" w:cs="Arial"/>
        <w:sz w:val="20"/>
      </w:rPr>
      <w:t xml:space="preserve"> </w:t>
    </w:r>
    <w:r w:rsidR="00034B85">
      <w:rPr>
        <w:rFonts w:ascii="Arial" w:hAnsi="Arial" w:cs="Arial"/>
        <w:sz w:val="20"/>
      </w:rPr>
      <w:t>28</w:t>
    </w:r>
    <w:r>
      <w:rPr>
        <w:rFonts w:ascii="Arial" w:hAnsi="Arial" w:cs="Arial"/>
        <w:sz w:val="20"/>
      </w:rPr>
      <w:t xml:space="preserve"> </w:t>
    </w:r>
    <w:r w:rsidR="00034B85">
      <w:rPr>
        <w:rFonts w:ascii="Arial" w:hAnsi="Arial" w:cs="Arial"/>
        <w:sz w:val="20"/>
      </w:rPr>
      <w:t>February</w:t>
    </w:r>
    <w:r>
      <w:rPr>
        <w:rFonts w:ascii="Arial" w:hAnsi="Arial" w:cs="Arial"/>
        <w:sz w:val="20"/>
      </w:rPr>
      <w:t xml:space="preserve"> 202</w:t>
    </w:r>
    <w:r w:rsidR="00034B85">
      <w:rPr>
        <w:rFonts w:ascii="Arial" w:hAnsi="Arial" w:cs="Arial"/>
        <w:sz w:val="20"/>
      </w:rPr>
      <w:t>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1937241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58F7" w14:textId="77777777" w:rsidR="000828D0" w:rsidRDefault="000828D0">
      <w:pPr>
        <w:spacing w:after="0" w:line="240" w:lineRule="auto"/>
      </w:pPr>
      <w:r>
        <w:separator/>
      </w:r>
    </w:p>
  </w:footnote>
  <w:footnote w:type="continuationSeparator" w:id="0">
    <w:p w14:paraId="6C1AE854" w14:textId="77777777" w:rsidR="000828D0" w:rsidRDefault="00082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F5C4" w14:textId="4A01F542" w:rsidR="00F32CB5" w:rsidRDefault="00091301" w:rsidP="00091301">
    <w:pPr>
      <w:pStyle w:val="Header"/>
      <w:tabs>
        <w:tab w:val="clear" w:pos="4153"/>
        <w:tab w:val="clear" w:pos="8306"/>
        <w:tab w:val="left" w:pos="5245"/>
        <w:tab w:val="right" w:pos="9498"/>
      </w:tabs>
      <w:spacing w:after="0"/>
      <w:jc w:val="center"/>
      <w:rPr>
        <w:b/>
        <w:lang w:val="en-AU"/>
      </w:rPr>
    </w:pPr>
    <w:r>
      <w:rPr>
        <w:noProof/>
        <w:lang w:eastAsia="en-AU"/>
      </w:rPr>
      <w:drawing>
        <wp:inline distT="0" distB="0" distL="0" distR="0" wp14:anchorId="482AB8BF" wp14:editId="29FE5413">
          <wp:extent cx="2352675" cy="1219200"/>
          <wp:effectExtent l="0" t="0" r="9525" b="0"/>
          <wp:docPr id="4" name="Picture 4"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62CD"/>
    <w:multiLevelType w:val="hybridMultilevel"/>
    <w:tmpl w:val="45B2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A4472"/>
    <w:multiLevelType w:val="hybridMultilevel"/>
    <w:tmpl w:val="01A42D96"/>
    <w:lvl w:ilvl="0" w:tplc="84A652DE">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719D9"/>
    <w:multiLevelType w:val="hybridMultilevel"/>
    <w:tmpl w:val="B8565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4122FE"/>
    <w:multiLevelType w:val="hybridMultilevel"/>
    <w:tmpl w:val="48EC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30C45"/>
    <w:multiLevelType w:val="hybridMultilevel"/>
    <w:tmpl w:val="AD9CB4E0"/>
    <w:lvl w:ilvl="0" w:tplc="95C059B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D76462"/>
    <w:multiLevelType w:val="hybridMultilevel"/>
    <w:tmpl w:val="FA005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E9"/>
    <w:rsid w:val="00001FA9"/>
    <w:rsid w:val="0001495A"/>
    <w:rsid w:val="00034B85"/>
    <w:rsid w:val="00082892"/>
    <w:rsid w:val="000828D0"/>
    <w:rsid w:val="00091301"/>
    <w:rsid w:val="00096576"/>
    <w:rsid w:val="000A6EEA"/>
    <w:rsid w:val="000D451C"/>
    <w:rsid w:val="001235E1"/>
    <w:rsid w:val="00127ED1"/>
    <w:rsid w:val="001A6276"/>
    <w:rsid w:val="001E6075"/>
    <w:rsid w:val="00203F58"/>
    <w:rsid w:val="0020710A"/>
    <w:rsid w:val="00212C38"/>
    <w:rsid w:val="00270F68"/>
    <w:rsid w:val="0027799F"/>
    <w:rsid w:val="00280050"/>
    <w:rsid w:val="002D606E"/>
    <w:rsid w:val="00371AF4"/>
    <w:rsid w:val="004416F9"/>
    <w:rsid w:val="004E19EC"/>
    <w:rsid w:val="0054661D"/>
    <w:rsid w:val="006766FD"/>
    <w:rsid w:val="006F725F"/>
    <w:rsid w:val="00724223"/>
    <w:rsid w:val="0074309F"/>
    <w:rsid w:val="00752BF4"/>
    <w:rsid w:val="00816450"/>
    <w:rsid w:val="008539BF"/>
    <w:rsid w:val="008846B3"/>
    <w:rsid w:val="008F5B7A"/>
    <w:rsid w:val="00966A36"/>
    <w:rsid w:val="009B338B"/>
    <w:rsid w:val="009C1E39"/>
    <w:rsid w:val="009D35E9"/>
    <w:rsid w:val="00A377D1"/>
    <w:rsid w:val="00A53221"/>
    <w:rsid w:val="00AA4BA2"/>
    <w:rsid w:val="00AD0055"/>
    <w:rsid w:val="00AD1CA4"/>
    <w:rsid w:val="00AE26D5"/>
    <w:rsid w:val="00B00F84"/>
    <w:rsid w:val="00B22734"/>
    <w:rsid w:val="00BA1223"/>
    <w:rsid w:val="00BB7C76"/>
    <w:rsid w:val="00C13D2D"/>
    <w:rsid w:val="00C603A1"/>
    <w:rsid w:val="00C715A3"/>
    <w:rsid w:val="00C7740E"/>
    <w:rsid w:val="00C9753E"/>
    <w:rsid w:val="00D84EF5"/>
    <w:rsid w:val="00DA5B53"/>
    <w:rsid w:val="00DC52C4"/>
    <w:rsid w:val="00DD5F7F"/>
    <w:rsid w:val="00E003FF"/>
    <w:rsid w:val="00E02999"/>
    <w:rsid w:val="00E14969"/>
    <w:rsid w:val="00E6067E"/>
    <w:rsid w:val="00E63855"/>
    <w:rsid w:val="00E659AF"/>
    <w:rsid w:val="00E87B35"/>
    <w:rsid w:val="00ED0C12"/>
    <w:rsid w:val="00EF2CF2"/>
    <w:rsid w:val="00F14D6C"/>
    <w:rsid w:val="00F36532"/>
    <w:rsid w:val="00F41403"/>
    <w:rsid w:val="00FA3A0B"/>
    <w:rsid w:val="00FE4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B0429"/>
  <w15:chartTrackingRefBased/>
  <w15:docId w15:val="{F1914E45-6B12-46F7-A464-BF475A8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E9"/>
    <w:pPr>
      <w:spacing w:after="200" w:line="276" w:lineRule="auto"/>
    </w:pPr>
    <w:rPr>
      <w:rFonts w:asciiTheme="minorHAnsi" w:eastAsiaTheme="minorEastAsia" w:hAnsiTheme="minorHAnsi" w:cstheme="minorBidi"/>
      <w:sz w:val="22"/>
      <w:szCs w:val="22"/>
      <w:lang w:eastAsia="en-AU"/>
    </w:rPr>
  </w:style>
  <w:style w:type="paragraph" w:styleId="Heading1">
    <w:name w:val="heading 1"/>
    <w:aliases w:val="c"/>
    <w:basedOn w:val="Normal"/>
    <w:next w:val="Normal"/>
    <w:link w:val="Heading1Char"/>
    <w:qFormat/>
    <w:rsid w:val="009D35E9"/>
    <w:pPr>
      <w:spacing w:before="480" w:after="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D35E9"/>
    <w:pPr>
      <w:spacing w:before="200" w:after="120" w:line="240" w:lineRule="auto"/>
      <w:ind w:left="1843" w:hanging="1843"/>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semiHidden/>
    <w:unhideWhenUsed/>
    <w:qFormat/>
    <w:rsid w:val="009D35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rsid w:val="009D35E9"/>
    <w:rPr>
      <w:rFonts w:asciiTheme="majorHAnsi" w:eastAsiaTheme="majorEastAsia" w:hAnsiTheme="majorHAnsi" w:cstheme="majorBidi"/>
      <w:b/>
      <w:bCs/>
      <w:sz w:val="28"/>
      <w:szCs w:val="28"/>
      <w:lang w:eastAsia="en-AU"/>
    </w:rPr>
  </w:style>
  <w:style w:type="character" w:customStyle="1" w:styleId="Heading2Char">
    <w:name w:val="Heading 2 Char"/>
    <w:basedOn w:val="DefaultParagraphFont"/>
    <w:link w:val="Heading2"/>
    <w:uiPriority w:val="9"/>
    <w:rsid w:val="009D35E9"/>
    <w:rPr>
      <w:rFonts w:asciiTheme="majorHAnsi" w:eastAsiaTheme="majorEastAsia" w:hAnsiTheme="majorHAnsi" w:cstheme="majorBidi"/>
      <w:b/>
      <w:bCs/>
      <w:szCs w:val="26"/>
      <w:lang w:eastAsia="en-AU"/>
    </w:rPr>
  </w:style>
  <w:style w:type="paragraph" w:styleId="Header">
    <w:name w:val="header"/>
    <w:basedOn w:val="Normal"/>
    <w:link w:val="HeaderChar"/>
    <w:rsid w:val="009D35E9"/>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rsid w:val="009D35E9"/>
    <w:rPr>
      <w:rFonts w:asciiTheme="minorHAnsi" w:eastAsiaTheme="minorEastAsia" w:hAnsiTheme="minorHAnsi" w:cstheme="minorBidi"/>
      <w:snapToGrid w:val="0"/>
      <w:sz w:val="22"/>
      <w:szCs w:val="22"/>
      <w:lang w:val="en-US"/>
    </w:rPr>
  </w:style>
  <w:style w:type="paragraph" w:styleId="Footer">
    <w:name w:val="footer"/>
    <w:basedOn w:val="Normal"/>
    <w:link w:val="FooterChar"/>
    <w:uiPriority w:val="99"/>
    <w:rsid w:val="009D35E9"/>
    <w:pPr>
      <w:tabs>
        <w:tab w:val="center" w:pos="4153"/>
        <w:tab w:val="right" w:pos="8306"/>
      </w:tabs>
    </w:pPr>
  </w:style>
  <w:style w:type="character" w:customStyle="1" w:styleId="FooterChar">
    <w:name w:val="Footer Char"/>
    <w:basedOn w:val="DefaultParagraphFont"/>
    <w:link w:val="Footer"/>
    <w:uiPriority w:val="99"/>
    <w:rsid w:val="009D35E9"/>
    <w:rPr>
      <w:rFonts w:asciiTheme="minorHAnsi" w:eastAsiaTheme="minorEastAsia" w:hAnsiTheme="minorHAnsi" w:cstheme="minorBidi"/>
      <w:sz w:val="22"/>
      <w:szCs w:val="22"/>
      <w:lang w:eastAsia="en-AU"/>
    </w:rPr>
  </w:style>
  <w:style w:type="character" w:styleId="PageNumber">
    <w:name w:val="page number"/>
    <w:basedOn w:val="DefaultParagraphFont"/>
    <w:rsid w:val="009D35E9"/>
  </w:style>
  <w:style w:type="paragraph" w:styleId="BodyText">
    <w:name w:val="Body Text"/>
    <w:basedOn w:val="Normal"/>
    <w:link w:val="BodyTextChar"/>
    <w:rsid w:val="009D35E9"/>
    <w:pPr>
      <w:spacing w:before="120" w:after="120" w:line="264" w:lineRule="auto"/>
    </w:pPr>
  </w:style>
  <w:style w:type="character" w:customStyle="1" w:styleId="BodyTextChar">
    <w:name w:val="Body Text Char"/>
    <w:basedOn w:val="DefaultParagraphFont"/>
    <w:link w:val="BodyText"/>
    <w:rsid w:val="009D35E9"/>
    <w:rPr>
      <w:rFonts w:asciiTheme="minorHAnsi" w:eastAsiaTheme="minorEastAsia" w:hAnsiTheme="minorHAnsi" w:cstheme="minorBidi"/>
      <w:sz w:val="22"/>
      <w:szCs w:val="22"/>
      <w:lang w:eastAsia="en-AU"/>
    </w:rPr>
  </w:style>
  <w:style w:type="paragraph" w:customStyle="1" w:styleId="Default">
    <w:name w:val="Default"/>
    <w:rsid w:val="009D35E9"/>
    <w:pPr>
      <w:autoSpaceDE w:val="0"/>
      <w:autoSpaceDN w:val="0"/>
      <w:adjustRightInd w:val="0"/>
      <w:spacing w:after="200" w:line="276" w:lineRule="auto"/>
    </w:pPr>
    <w:rPr>
      <w:rFonts w:ascii="Arial" w:eastAsiaTheme="minorEastAsia" w:hAnsi="Arial" w:cs="Arial"/>
      <w:color w:val="000000"/>
      <w:lang w:val="en-US"/>
    </w:rPr>
  </w:style>
  <w:style w:type="paragraph" w:styleId="ListParagraph">
    <w:name w:val="List Paragraph"/>
    <w:basedOn w:val="Normal"/>
    <w:link w:val="ListParagraphChar"/>
    <w:uiPriority w:val="34"/>
    <w:qFormat/>
    <w:rsid w:val="009D35E9"/>
    <w:pPr>
      <w:ind w:left="720"/>
      <w:contextualSpacing/>
    </w:pPr>
  </w:style>
  <w:style w:type="paragraph" w:styleId="NoSpacing">
    <w:name w:val="No Spacing"/>
    <w:basedOn w:val="Normal"/>
    <w:uiPriority w:val="1"/>
    <w:qFormat/>
    <w:rsid w:val="009D35E9"/>
    <w:pPr>
      <w:spacing w:after="0" w:line="240" w:lineRule="auto"/>
    </w:pPr>
  </w:style>
  <w:style w:type="character" w:styleId="SubtleEmphasis">
    <w:name w:val="Subtle Emphasis"/>
    <w:uiPriority w:val="19"/>
    <w:qFormat/>
    <w:rsid w:val="009D35E9"/>
    <w:rPr>
      <w:i/>
      <w:iCs/>
    </w:rPr>
  </w:style>
  <w:style w:type="character" w:customStyle="1" w:styleId="ListParagraphChar">
    <w:name w:val="List Paragraph Char"/>
    <w:basedOn w:val="DefaultParagraphFont"/>
    <w:link w:val="ListParagraph"/>
    <w:uiPriority w:val="34"/>
    <w:rsid w:val="009D35E9"/>
    <w:rPr>
      <w:rFonts w:asciiTheme="minorHAnsi" w:eastAsiaTheme="minorEastAsia" w:hAnsiTheme="minorHAnsi" w:cstheme="minorBidi"/>
      <w:sz w:val="22"/>
      <w:szCs w:val="22"/>
      <w:lang w:eastAsia="en-AU"/>
    </w:rPr>
  </w:style>
  <w:style w:type="paragraph" w:customStyle="1" w:styleId="CmqHeading1">
    <w:name w:val="Cmq Heading 1"/>
    <w:basedOn w:val="Heading3"/>
    <w:link w:val="CmqHeading1Char"/>
    <w:autoRedefine/>
    <w:qFormat/>
    <w:rsid w:val="00E02999"/>
    <w:pPr>
      <w:keepLines w:val="0"/>
      <w:spacing w:before="360" w:after="120" w:line="240" w:lineRule="auto"/>
    </w:pPr>
    <w:rPr>
      <w:rFonts w:ascii="Arial Bold" w:eastAsia="Times" w:hAnsi="Arial Bold" w:cs="Arial"/>
      <w:b/>
      <w:caps/>
      <w:color w:val="auto"/>
      <w:sz w:val="26"/>
      <w:szCs w:val="26"/>
    </w:rPr>
  </w:style>
  <w:style w:type="paragraph" w:customStyle="1" w:styleId="Cmqheading2">
    <w:name w:val="Cmq heading 2"/>
    <w:basedOn w:val="BodyText"/>
    <w:link w:val="Cmqheading2Char"/>
    <w:qFormat/>
    <w:rsid w:val="009D35E9"/>
    <w:pPr>
      <w:keepNext/>
      <w:spacing w:before="360" w:after="240" w:line="240" w:lineRule="auto"/>
    </w:pPr>
    <w:rPr>
      <w:rFonts w:ascii="Arial" w:eastAsia="Times" w:hAnsi="Arial" w:cs="Arial"/>
      <w:b/>
      <w:bCs/>
      <w:i/>
      <w:caps/>
      <w:color w:val="000000"/>
    </w:rPr>
  </w:style>
  <w:style w:type="character" w:customStyle="1" w:styleId="CmqHeading1Char">
    <w:name w:val="Cmq Heading 1 Char"/>
    <w:basedOn w:val="Heading3Char"/>
    <w:link w:val="CmqHeading1"/>
    <w:rsid w:val="00E02999"/>
    <w:rPr>
      <w:rFonts w:ascii="Arial Bold" w:eastAsia="Times" w:hAnsi="Arial Bold" w:cs="Arial"/>
      <w:b/>
      <w:caps/>
      <w:color w:val="1F3763" w:themeColor="accent1" w:themeShade="7F"/>
      <w:sz w:val="26"/>
      <w:szCs w:val="26"/>
      <w:lang w:eastAsia="en-AU"/>
    </w:rPr>
  </w:style>
  <w:style w:type="paragraph" w:customStyle="1" w:styleId="Cmqheading3">
    <w:name w:val="Cmq heading 3"/>
    <w:basedOn w:val="Heading3"/>
    <w:link w:val="Cmqheading3Char"/>
    <w:qFormat/>
    <w:rsid w:val="009D35E9"/>
    <w:pPr>
      <w:keepNext w:val="0"/>
      <w:keepLines w:val="0"/>
      <w:spacing w:before="240" w:after="120" w:line="23" w:lineRule="atLeast"/>
      <w:ind w:left="1191" w:hanging="1191"/>
      <w:contextualSpacing/>
      <w:outlineLvl w:val="9"/>
    </w:pPr>
    <w:rPr>
      <w:rFonts w:ascii="Arial" w:hAnsi="Arial" w:cs="Arial"/>
      <w:b/>
      <w:sz w:val="22"/>
      <w:szCs w:val="22"/>
    </w:rPr>
  </w:style>
  <w:style w:type="character" w:customStyle="1" w:styleId="Cmqheading2Char">
    <w:name w:val="Cmq heading 2 Char"/>
    <w:basedOn w:val="BodyTextChar"/>
    <w:link w:val="Cmqheading2"/>
    <w:rsid w:val="009D35E9"/>
    <w:rPr>
      <w:rFonts w:ascii="Arial" w:eastAsia="Times" w:hAnsi="Arial" w:cs="Arial"/>
      <w:b/>
      <w:bCs/>
      <w:i/>
      <w:caps/>
      <w:color w:val="000000"/>
      <w:sz w:val="22"/>
      <w:szCs w:val="22"/>
      <w:lang w:eastAsia="en-AU"/>
    </w:rPr>
  </w:style>
  <w:style w:type="paragraph" w:customStyle="1" w:styleId="CmqTitle1">
    <w:name w:val="Cmq Title 1"/>
    <w:basedOn w:val="Normal"/>
    <w:qFormat/>
    <w:rsid w:val="009D35E9"/>
    <w:pPr>
      <w:spacing w:before="120" w:after="120" w:line="260" w:lineRule="exact"/>
      <w:jc w:val="center"/>
    </w:pPr>
    <w:rPr>
      <w:rFonts w:ascii="Arial" w:eastAsiaTheme="minorHAnsi" w:hAnsi="Arial" w:cs="Arial"/>
      <w:b/>
      <w:bCs/>
      <w:color w:val="000000"/>
      <w:sz w:val="24"/>
      <w:szCs w:val="28"/>
      <w:lang w:eastAsia="en-US"/>
    </w:rPr>
  </w:style>
  <w:style w:type="character" w:customStyle="1" w:styleId="Cmqheading3Char">
    <w:name w:val="Cmq heading 3 Char"/>
    <w:basedOn w:val="Heading3Char"/>
    <w:link w:val="Cmqheading3"/>
    <w:rsid w:val="009D35E9"/>
    <w:rPr>
      <w:rFonts w:ascii="Arial" w:eastAsiaTheme="majorEastAsia" w:hAnsi="Arial" w:cs="Arial"/>
      <w:b/>
      <w:color w:val="1F3763" w:themeColor="accent1" w:themeShade="7F"/>
      <w:sz w:val="22"/>
      <w:szCs w:val="22"/>
      <w:lang w:eastAsia="en-AU"/>
    </w:rPr>
  </w:style>
  <w:style w:type="paragraph" w:customStyle="1" w:styleId="CmqTitle2">
    <w:name w:val="Cmq Title 2"/>
    <w:basedOn w:val="Normal"/>
    <w:qFormat/>
    <w:rsid w:val="009D35E9"/>
    <w:pPr>
      <w:pBdr>
        <w:top w:val="single" w:sz="4" w:space="12" w:color="auto"/>
        <w:bottom w:val="single" w:sz="4" w:space="12" w:color="auto"/>
      </w:pBdr>
      <w:spacing w:after="0" w:line="240" w:lineRule="auto"/>
      <w:ind w:left="360"/>
      <w:jc w:val="center"/>
    </w:pPr>
    <w:rPr>
      <w:rFonts w:ascii="Arial" w:eastAsia="Times" w:hAnsi="Arial" w:cs="Arial"/>
      <w:b/>
      <w:i/>
      <w:iCs/>
      <w:lang w:eastAsia="en-US"/>
    </w:rPr>
  </w:style>
  <w:style w:type="character" w:styleId="Hyperlink">
    <w:name w:val="Hyperlink"/>
    <w:basedOn w:val="DefaultParagraphFont"/>
    <w:uiPriority w:val="99"/>
    <w:unhideWhenUsed/>
    <w:rsid w:val="009D35E9"/>
    <w:rPr>
      <w:color w:val="0563C1" w:themeColor="hyperlink"/>
      <w:u w:val="single"/>
    </w:rPr>
  </w:style>
  <w:style w:type="table" w:styleId="TableGrid">
    <w:name w:val="Table Grid"/>
    <w:basedOn w:val="TableNormal"/>
    <w:uiPriority w:val="59"/>
    <w:rsid w:val="009D35E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D35E9"/>
    <w:rPr>
      <w:rFonts w:asciiTheme="majorHAnsi" w:eastAsiaTheme="majorEastAsia" w:hAnsiTheme="majorHAnsi" w:cstheme="majorBidi"/>
      <w:color w:val="1F3763" w:themeColor="accent1" w:themeShade="7F"/>
      <w:lang w:eastAsia="en-AU"/>
    </w:rPr>
  </w:style>
  <w:style w:type="character" w:styleId="FollowedHyperlink">
    <w:name w:val="FollowedHyperlink"/>
    <w:basedOn w:val="DefaultParagraphFont"/>
    <w:uiPriority w:val="99"/>
    <w:semiHidden/>
    <w:unhideWhenUsed/>
    <w:rsid w:val="009D35E9"/>
    <w:rPr>
      <w:color w:val="954F72" w:themeColor="followedHyperlink"/>
      <w:u w:val="single"/>
    </w:rPr>
  </w:style>
  <w:style w:type="character" w:styleId="UnresolvedMention">
    <w:name w:val="Unresolved Mention"/>
    <w:basedOn w:val="DefaultParagraphFont"/>
    <w:uiPriority w:val="99"/>
    <w:semiHidden/>
    <w:unhideWhenUsed/>
    <w:rsid w:val="0001495A"/>
    <w:rPr>
      <w:color w:val="605E5C"/>
      <w:shd w:val="clear" w:color="auto" w:fill="E1DFDD"/>
    </w:rPr>
  </w:style>
  <w:style w:type="character" w:styleId="CommentReference">
    <w:name w:val="annotation reference"/>
    <w:basedOn w:val="DefaultParagraphFont"/>
    <w:uiPriority w:val="99"/>
    <w:semiHidden/>
    <w:unhideWhenUsed/>
    <w:rsid w:val="00E87B35"/>
    <w:rPr>
      <w:sz w:val="16"/>
      <w:szCs w:val="16"/>
    </w:rPr>
  </w:style>
  <w:style w:type="paragraph" w:styleId="CommentText">
    <w:name w:val="annotation text"/>
    <w:basedOn w:val="Normal"/>
    <w:link w:val="CommentTextChar"/>
    <w:uiPriority w:val="99"/>
    <w:semiHidden/>
    <w:unhideWhenUsed/>
    <w:rsid w:val="00E87B35"/>
    <w:pPr>
      <w:spacing w:line="240" w:lineRule="auto"/>
    </w:pPr>
    <w:rPr>
      <w:sz w:val="20"/>
      <w:szCs w:val="20"/>
    </w:rPr>
  </w:style>
  <w:style w:type="character" w:customStyle="1" w:styleId="CommentTextChar">
    <w:name w:val="Comment Text Char"/>
    <w:basedOn w:val="DefaultParagraphFont"/>
    <w:link w:val="CommentText"/>
    <w:uiPriority w:val="99"/>
    <w:semiHidden/>
    <w:rsid w:val="00E87B35"/>
    <w:rPr>
      <w:rFonts w:asciiTheme="minorHAnsi" w:eastAsiaTheme="minorEastAsia" w:hAnsiTheme="minorHAnsi" w:cstheme="minorBidi"/>
      <w:sz w:val="20"/>
      <w:szCs w:val="20"/>
      <w:lang w:eastAsia="en-AU"/>
    </w:rPr>
  </w:style>
  <w:style w:type="paragraph" w:styleId="CommentSubject">
    <w:name w:val="annotation subject"/>
    <w:basedOn w:val="CommentText"/>
    <w:next w:val="CommentText"/>
    <w:link w:val="CommentSubjectChar"/>
    <w:uiPriority w:val="99"/>
    <w:semiHidden/>
    <w:unhideWhenUsed/>
    <w:rsid w:val="00E87B35"/>
    <w:rPr>
      <w:b/>
      <w:bCs/>
    </w:rPr>
  </w:style>
  <w:style w:type="character" w:customStyle="1" w:styleId="CommentSubjectChar">
    <w:name w:val="Comment Subject Char"/>
    <w:basedOn w:val="CommentTextChar"/>
    <w:link w:val="CommentSubject"/>
    <w:uiPriority w:val="99"/>
    <w:semiHidden/>
    <w:rsid w:val="00E87B35"/>
    <w:rPr>
      <w:rFonts w:asciiTheme="minorHAnsi" w:eastAsiaTheme="minorEastAsia" w:hAnsiTheme="minorHAnsi" w:cstheme="minorBid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collections/guidelines-and-checklists-certification-pc3-facilit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gtr.gov.au/gmo-dealings/register-00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gtr.gov.au" TargetMode="External"/><Relationship Id="rId4" Type="http://schemas.openxmlformats.org/officeDocument/2006/relationships/webSettings" Target="webSettings.xml"/><Relationship Id="rId9" Type="http://schemas.openxmlformats.org/officeDocument/2006/relationships/hyperlink" Target="mailto:ogtr@health.gov.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Technical Advisory Committee 28 February 2022 Communiqué</dc:title>
  <dc:subject/>
  <dc:creator>OGTR.Voicemail@health.gov.au</dc:creator>
  <cp:keywords/>
  <dc:description/>
  <cp:lastModifiedBy>SMITH, Justine</cp:lastModifiedBy>
  <cp:revision>2</cp:revision>
  <dcterms:created xsi:type="dcterms:W3CDTF">2022-10-04T02:24:00Z</dcterms:created>
  <dcterms:modified xsi:type="dcterms:W3CDTF">2022-10-04T02:24:00Z</dcterms:modified>
</cp:coreProperties>
</file>