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54E31" w14:textId="77777777" w:rsidR="005E10BF" w:rsidRPr="005E10BF" w:rsidRDefault="005E10BF" w:rsidP="005E10BF">
      <w:pPr>
        <w:keepNext/>
        <w:spacing w:before="240" w:after="60"/>
        <w:ind w:right="-46"/>
        <w:jc w:val="center"/>
        <w:outlineLvl w:val="0"/>
        <w:rPr>
          <w:rFonts w:cs="Calibri"/>
          <w:b/>
          <w:bCs/>
          <w:snapToGrid w:val="0"/>
          <w:kern w:val="28"/>
          <w:sz w:val="36"/>
          <w:szCs w:val="36"/>
          <w:lang w:eastAsia="en-US"/>
        </w:rPr>
      </w:pPr>
      <w:bookmarkStart w:id="0" w:name="_Toc47536733"/>
      <w:bookmarkStart w:id="1" w:name="_Toc105688447"/>
      <w:bookmarkStart w:id="2" w:name="_Toc127611671"/>
      <w:bookmarkStart w:id="3" w:name="_Toc127611713"/>
      <w:bookmarkStart w:id="4" w:name="_Toc127612243"/>
      <w:bookmarkStart w:id="5" w:name="_Toc127612326"/>
      <w:bookmarkStart w:id="6" w:name="_Toc127612557"/>
      <w:r w:rsidRPr="005E10BF">
        <w:rPr>
          <w:rFonts w:cs="Calibri"/>
          <w:b/>
          <w:bCs/>
          <w:snapToGrid w:val="0"/>
          <w:kern w:val="28"/>
          <w:sz w:val="36"/>
          <w:szCs w:val="36"/>
          <w:lang w:eastAsia="en-US"/>
        </w:rPr>
        <w:t>Summary of the Risk Assessment and Risk Management Plan</w:t>
      </w:r>
      <w:bookmarkEnd w:id="0"/>
      <w:bookmarkEnd w:id="1"/>
      <w:bookmarkEnd w:id="2"/>
      <w:bookmarkEnd w:id="3"/>
      <w:bookmarkEnd w:id="4"/>
      <w:bookmarkEnd w:id="5"/>
      <w:bookmarkEnd w:id="6"/>
    </w:p>
    <w:p w14:paraId="292563D3" w14:textId="77777777" w:rsidR="005E10BF" w:rsidRPr="005E10BF" w:rsidRDefault="005E10BF" w:rsidP="005E10BF">
      <w:pPr>
        <w:keepNext/>
        <w:jc w:val="center"/>
        <w:rPr>
          <w:rFonts w:cs="Calibri"/>
          <w:b/>
          <w:bCs/>
          <w:kern w:val="32"/>
          <w:sz w:val="28"/>
          <w:szCs w:val="28"/>
          <w:lang w:eastAsia="en-US"/>
        </w:rPr>
      </w:pPr>
      <w:r w:rsidRPr="005E10BF">
        <w:rPr>
          <w:rFonts w:cs="Calibri"/>
          <w:b/>
          <w:bCs/>
          <w:kern w:val="32"/>
          <w:sz w:val="28"/>
          <w:szCs w:val="28"/>
          <w:lang w:eastAsia="en-US"/>
        </w:rPr>
        <w:t xml:space="preserve">for </w:t>
      </w:r>
    </w:p>
    <w:p w14:paraId="1A736E12" w14:textId="77777777" w:rsidR="005E10BF" w:rsidRPr="005E10BF" w:rsidRDefault="005E10BF" w:rsidP="005E10BF">
      <w:pPr>
        <w:keepNext/>
        <w:jc w:val="center"/>
        <w:rPr>
          <w:rFonts w:cs="Calibri"/>
          <w:b/>
          <w:bCs/>
          <w:kern w:val="32"/>
          <w:sz w:val="36"/>
          <w:szCs w:val="36"/>
          <w:lang w:eastAsia="en-US"/>
        </w:rPr>
      </w:pPr>
      <w:r w:rsidRPr="005E10BF">
        <w:rPr>
          <w:rFonts w:cs="Calibri"/>
          <w:b/>
          <w:snapToGrid w:val="0"/>
          <w:kern w:val="28"/>
          <w:sz w:val="36"/>
          <w:szCs w:val="36"/>
        </w:rPr>
        <w:t>Licence Application No. DIR 195</w:t>
      </w:r>
    </w:p>
    <w:p w14:paraId="595268E7" w14:textId="77777777" w:rsidR="005E10BF" w:rsidRPr="005E10BF" w:rsidRDefault="005E10BF" w:rsidP="005E10BF">
      <w:pPr>
        <w:keepNext/>
        <w:spacing w:before="240" w:after="60"/>
        <w:outlineLvl w:val="1"/>
        <w:rPr>
          <w:rFonts w:cs="Calibri"/>
          <w:b/>
          <w:bCs/>
          <w:i/>
          <w:iCs/>
          <w:sz w:val="28"/>
          <w:szCs w:val="28"/>
          <w:lang w:eastAsia="en-US"/>
        </w:rPr>
      </w:pPr>
      <w:r w:rsidRPr="005E10BF">
        <w:rPr>
          <w:rFonts w:cs="Calibri"/>
          <w:b/>
          <w:bCs/>
          <w:i/>
          <w:iCs/>
          <w:sz w:val="28"/>
          <w:szCs w:val="28"/>
          <w:lang w:eastAsia="en-US"/>
        </w:rPr>
        <w:t xml:space="preserve">Decision </w:t>
      </w:r>
    </w:p>
    <w:p w14:paraId="498F40E1" w14:textId="77777777" w:rsidR="005E10BF" w:rsidRPr="005E10BF" w:rsidRDefault="005E10BF" w:rsidP="005E10BF">
      <w:pPr>
        <w:spacing w:after="0"/>
        <w:jc w:val="both"/>
        <w:rPr>
          <w:rFonts w:cs="Calibri"/>
          <w:szCs w:val="22"/>
          <w:lang w:eastAsia="en-US"/>
        </w:rPr>
      </w:pPr>
      <w:r w:rsidRPr="005E10BF">
        <w:rPr>
          <w:rFonts w:cs="Calibri"/>
        </w:rPr>
        <w:t>The Gene Technology Regulator (the Regulator) has decided to issue a licence for a trial</w:t>
      </w:r>
      <w:r w:rsidRPr="005E10BF">
        <w:rPr>
          <w:rFonts w:cs="Calibri"/>
          <w:szCs w:val="22"/>
          <w:lang w:eastAsia="en-US"/>
        </w:rPr>
        <w:t xml:space="preserve"> using a genetically modified organism (GMO). It qualifies as Dealings involving the Intentional Release (DIR) of genetically modified organisms into the Australian environment under the </w:t>
      </w:r>
      <w:r w:rsidRPr="005E10BF">
        <w:rPr>
          <w:rFonts w:cs="Calibri"/>
          <w:i/>
          <w:iCs/>
          <w:szCs w:val="22"/>
          <w:lang w:eastAsia="en-US"/>
        </w:rPr>
        <w:t>Gene Technology Act 2000</w:t>
      </w:r>
      <w:r w:rsidRPr="005E10BF">
        <w:rPr>
          <w:rFonts w:cs="Calibri"/>
          <w:szCs w:val="22"/>
          <w:lang w:eastAsia="en-US"/>
        </w:rPr>
        <w:t xml:space="preserve">. </w:t>
      </w:r>
    </w:p>
    <w:p w14:paraId="17B8E536" w14:textId="77777777" w:rsidR="005E10BF" w:rsidRPr="005E10BF" w:rsidRDefault="005E10BF" w:rsidP="005E10BF">
      <w:pPr>
        <w:spacing w:after="0"/>
        <w:jc w:val="both"/>
        <w:rPr>
          <w:rFonts w:cs="Calibri"/>
          <w:szCs w:val="22"/>
          <w:lang w:eastAsia="en-US"/>
        </w:rPr>
      </w:pPr>
      <w:r w:rsidRPr="005E10BF">
        <w:rPr>
          <w:rFonts w:cs="Calibri"/>
          <w:szCs w:val="22"/>
          <w:lang w:eastAsia="en-US"/>
        </w:rPr>
        <w:t xml:space="preserve">The applicant, University of Tasmania (UTAS), proposes to conduct a trial with a GM vaccine in Tasmanian devils. The GM vaccine consists of a replication defective human adenovirus serotype 5 (HAdV-5) vector that has been genetically modified to produce proteins capable of inducing an immune response against </w:t>
      </w:r>
      <w:r w:rsidRPr="005E10BF">
        <w:rPr>
          <w:rFonts w:cs="Calibri"/>
          <w:szCs w:val="22"/>
          <w:lang w:val="en" w:eastAsia="en-US"/>
        </w:rPr>
        <w:t>devil facial tumour cells</w:t>
      </w:r>
      <w:r w:rsidRPr="005E10BF">
        <w:rPr>
          <w:rFonts w:cs="Calibri"/>
          <w:szCs w:val="22"/>
          <w:lang w:eastAsia="en-US"/>
        </w:rPr>
        <w:t>.</w:t>
      </w:r>
    </w:p>
    <w:p w14:paraId="2B3E0A8E" w14:textId="77777777" w:rsidR="005E10BF" w:rsidRPr="005E10BF" w:rsidRDefault="005E10BF" w:rsidP="005E10BF">
      <w:pPr>
        <w:spacing w:after="0"/>
        <w:jc w:val="both"/>
        <w:rPr>
          <w:rFonts w:cs="Calibri"/>
          <w:szCs w:val="22"/>
          <w:lang w:eastAsia="en-US"/>
        </w:rPr>
      </w:pPr>
      <w:r w:rsidRPr="005E10BF">
        <w:rPr>
          <w:rFonts w:cs="Calibri"/>
          <w:szCs w:val="22"/>
          <w:lang w:eastAsia="en-US"/>
        </w:rPr>
        <w:t>The purpose of the study is to evaluate the immunogenicity, safety and efficacy of the GM vaccine for prevention and/or treatment of devil facial tumour disease. The GM vaccine would be administered to Tasmanian devils kept in enclosures within trial sites in Tasmania.</w:t>
      </w:r>
    </w:p>
    <w:p w14:paraId="0627BD6F" w14:textId="77777777" w:rsidR="005E10BF" w:rsidRPr="005E10BF" w:rsidRDefault="005E10BF" w:rsidP="005E10BF">
      <w:pPr>
        <w:spacing w:after="0"/>
        <w:rPr>
          <w:rFonts w:cs="Calibri"/>
          <w:szCs w:val="22"/>
          <w:lang w:eastAsia="en-US"/>
        </w:rPr>
      </w:pPr>
      <w:r w:rsidRPr="005E10BF">
        <w:rPr>
          <w:rFonts w:cs="Calibri"/>
          <w:szCs w:val="22"/>
          <w:lang w:eastAsia="en-US"/>
        </w:rPr>
        <w:t xml:space="preserve">Veterinary medicines must be approved by the Australian Pesticides and Veterinary Medicines Authority (APVMA), which provides a national registration scheme for agricultural and veterinary chemical products under the </w:t>
      </w:r>
      <w:r w:rsidRPr="005E10BF">
        <w:rPr>
          <w:rFonts w:cs="Calibri"/>
          <w:i/>
          <w:szCs w:val="22"/>
          <w:lang w:eastAsia="en-US"/>
        </w:rPr>
        <w:t>Agricultural and Veterinary Chemicals Code Act 1994</w:t>
      </w:r>
      <w:r w:rsidRPr="005E10BF">
        <w:rPr>
          <w:rFonts w:cs="Calibri"/>
          <w:szCs w:val="22"/>
          <w:lang w:eastAsia="en-US"/>
        </w:rPr>
        <w:t xml:space="preserve"> (AgVet Code), including vaccines. </w:t>
      </w:r>
      <w:r w:rsidRPr="005E10BF">
        <w:rPr>
          <w:rFonts w:cs="Calibri"/>
          <w:lang w:eastAsia="en-US"/>
        </w:rPr>
        <w:t xml:space="preserve">Therefore, in addition to approval by the Regulator, the University of Tasmania would require a permit from APVMA </w:t>
      </w:r>
      <w:r w:rsidRPr="005E10BF">
        <w:rPr>
          <w:rFonts w:cs="Calibri"/>
          <w:szCs w:val="22"/>
          <w:lang w:eastAsia="en-US"/>
        </w:rPr>
        <w:t>to use this GM vaccine.</w:t>
      </w:r>
    </w:p>
    <w:p w14:paraId="3D9B089E" w14:textId="77777777" w:rsidR="005E10BF" w:rsidRPr="005E10BF" w:rsidRDefault="005E10BF" w:rsidP="005E10BF">
      <w:pPr>
        <w:spacing w:after="0"/>
        <w:rPr>
          <w:rFonts w:cs="Calibri"/>
        </w:rPr>
      </w:pPr>
      <w:r w:rsidRPr="005E10BF">
        <w:rPr>
          <w:rFonts w:cs="Calibri"/>
        </w:rPr>
        <w:t>A Risk Assessment and Risk Management Plan (RARMP) for this application has been prepared by the Regulator in accordance with the Act and corresponding state and territory legislation, and finalised following consultation with a wide range of experts, agencies and authorities, and the public. The RARMP concluded that the proposed trial poses negligible risks to human health and safety and the environment and that any risks posed by the dealings can be managed by imposing conditions on the release.</w:t>
      </w:r>
    </w:p>
    <w:p w14:paraId="7FA65F33" w14:textId="77777777" w:rsidR="005E10BF" w:rsidRPr="005E10BF" w:rsidRDefault="005E10BF" w:rsidP="005E10BF">
      <w:pPr>
        <w:spacing w:after="0"/>
        <w:rPr>
          <w:rFonts w:cs="Calibri"/>
        </w:rPr>
      </w:pPr>
    </w:p>
    <w:p w14:paraId="2C9F2482" w14:textId="77777777" w:rsidR="005E10BF" w:rsidRPr="005E10BF" w:rsidRDefault="005E10BF" w:rsidP="005E10BF">
      <w:pPr>
        <w:keepNext/>
        <w:spacing w:before="240" w:after="60"/>
        <w:outlineLvl w:val="1"/>
        <w:rPr>
          <w:rFonts w:cs="Calibri"/>
          <w:b/>
          <w:bCs/>
          <w:i/>
          <w:iCs/>
          <w:sz w:val="28"/>
          <w:szCs w:val="28"/>
          <w:lang w:eastAsia="en-US"/>
        </w:rPr>
      </w:pPr>
      <w:bookmarkStart w:id="7" w:name="_Toc105688449"/>
      <w:bookmarkStart w:id="8" w:name="_Toc127611673"/>
      <w:bookmarkStart w:id="9" w:name="_Toc127611715"/>
      <w:bookmarkStart w:id="10" w:name="_Toc127612245"/>
      <w:bookmarkStart w:id="11" w:name="_Toc127612328"/>
      <w:r w:rsidRPr="005E10BF">
        <w:rPr>
          <w:rFonts w:cs="Calibri"/>
          <w:b/>
          <w:bCs/>
          <w:i/>
          <w:iCs/>
          <w:sz w:val="28"/>
          <w:szCs w:val="28"/>
          <w:lang w:eastAsia="en-US"/>
        </w:rPr>
        <w:lastRenderedPageBreak/>
        <w:t>The application</w:t>
      </w:r>
      <w:bookmarkEnd w:id="7"/>
      <w:bookmarkEnd w:id="8"/>
      <w:bookmarkEnd w:id="9"/>
      <w:bookmarkEnd w:id="10"/>
      <w:bookmarkEnd w:id="11"/>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he application"/>
        <w:tblDescription w:val="This table provides summary information about the licence application at a glance. The table has 9 rows, one each for Application Number, Applicant, Project title, Parent organism, Introduced genes and modified traits, Proposed locations, Proposed release size, Proposed release dates and Primary purpose."/>
      </w:tblPr>
      <w:tblGrid>
        <w:gridCol w:w="2325"/>
        <w:gridCol w:w="7067"/>
      </w:tblGrid>
      <w:tr w:rsidR="005E10BF" w:rsidRPr="005E10BF" w14:paraId="01A2A1B0" w14:textId="77777777" w:rsidTr="00441923">
        <w:trPr>
          <w:jc w:val="center"/>
        </w:trPr>
        <w:tc>
          <w:tcPr>
            <w:tcW w:w="2325" w:type="dxa"/>
          </w:tcPr>
          <w:p w14:paraId="7048682A" w14:textId="77777777" w:rsidR="005E10BF" w:rsidRPr="005E10BF" w:rsidRDefault="005E10BF" w:rsidP="005E10BF">
            <w:pPr>
              <w:keepNext/>
              <w:tabs>
                <w:tab w:val="right" w:leader="dot" w:pos="9356"/>
              </w:tabs>
              <w:spacing w:before="80" w:after="40"/>
              <w:rPr>
                <w:rFonts w:cs="Calibri"/>
                <w:b/>
                <w:bCs/>
                <w:snapToGrid w:val="0"/>
                <w:szCs w:val="22"/>
              </w:rPr>
            </w:pPr>
            <w:r w:rsidRPr="005E10BF">
              <w:rPr>
                <w:rFonts w:cs="Calibri"/>
                <w:b/>
                <w:bCs/>
                <w:snapToGrid w:val="0"/>
                <w:szCs w:val="22"/>
              </w:rPr>
              <w:t>Project Title</w:t>
            </w:r>
          </w:p>
        </w:tc>
        <w:tc>
          <w:tcPr>
            <w:tcW w:w="7067" w:type="dxa"/>
          </w:tcPr>
          <w:p w14:paraId="24D10467" w14:textId="77777777" w:rsidR="005E10BF" w:rsidRPr="005E10BF" w:rsidRDefault="005E10BF" w:rsidP="005E10BF">
            <w:pPr>
              <w:keepNext/>
              <w:tabs>
                <w:tab w:val="right" w:leader="dot" w:pos="9356"/>
              </w:tabs>
              <w:spacing w:before="80" w:after="40"/>
              <w:rPr>
                <w:rFonts w:cs="Calibri"/>
                <w:bCs/>
                <w:snapToGrid w:val="0"/>
                <w:szCs w:val="22"/>
              </w:rPr>
            </w:pPr>
            <w:r w:rsidRPr="005E10BF">
              <w:rPr>
                <w:rFonts w:cs="Calibri"/>
                <w:snapToGrid w:val="0"/>
                <w:szCs w:val="22"/>
              </w:rPr>
              <w:t>Trial of a genetically modified vaccine against devil facial tumour disease in Tasmanian devils</w:t>
            </w:r>
            <w:r w:rsidRPr="005E10BF">
              <w:rPr>
                <w:rFonts w:cs="Calibri"/>
                <w:snapToGrid w:val="0"/>
                <w:szCs w:val="22"/>
                <w:vertAlign w:val="superscript"/>
              </w:rPr>
              <w:footnoteReference w:id="1"/>
            </w:r>
          </w:p>
        </w:tc>
      </w:tr>
      <w:tr w:rsidR="005E10BF" w:rsidRPr="005E10BF" w14:paraId="59E93EBC" w14:textId="77777777" w:rsidTr="00441923">
        <w:trPr>
          <w:trHeight w:val="346"/>
          <w:jc w:val="center"/>
        </w:trPr>
        <w:tc>
          <w:tcPr>
            <w:tcW w:w="2325" w:type="dxa"/>
          </w:tcPr>
          <w:p w14:paraId="57218E3D" w14:textId="77777777" w:rsidR="005E10BF" w:rsidRPr="005E10BF" w:rsidRDefault="005E10BF" w:rsidP="005E10BF">
            <w:pPr>
              <w:keepNext/>
              <w:tabs>
                <w:tab w:val="right" w:leader="dot" w:pos="9356"/>
              </w:tabs>
              <w:spacing w:before="80" w:after="40"/>
              <w:rPr>
                <w:rFonts w:cs="Calibri"/>
                <w:b/>
                <w:bCs/>
                <w:snapToGrid w:val="0"/>
                <w:szCs w:val="22"/>
              </w:rPr>
            </w:pPr>
            <w:r w:rsidRPr="005E10BF">
              <w:rPr>
                <w:rFonts w:cs="Calibri"/>
                <w:b/>
                <w:bCs/>
                <w:snapToGrid w:val="0"/>
                <w:szCs w:val="22"/>
              </w:rPr>
              <w:t>Parent organism</w:t>
            </w:r>
          </w:p>
        </w:tc>
        <w:tc>
          <w:tcPr>
            <w:tcW w:w="7067" w:type="dxa"/>
          </w:tcPr>
          <w:p w14:paraId="3D5AA7EF" w14:textId="68C3181D" w:rsidR="005E10BF" w:rsidRPr="005E10BF" w:rsidRDefault="005E10BF" w:rsidP="005E10BF">
            <w:pPr>
              <w:keepNext/>
              <w:tabs>
                <w:tab w:val="right" w:leader="dot" w:pos="9356"/>
              </w:tabs>
              <w:spacing w:before="80" w:after="40"/>
              <w:rPr>
                <w:rFonts w:cs="Calibri"/>
                <w:snapToGrid w:val="0"/>
                <w:szCs w:val="22"/>
              </w:rPr>
            </w:pPr>
            <w:r w:rsidRPr="005E10BF">
              <w:rPr>
                <w:rFonts w:cs="Calibri"/>
                <w:snapToGrid w:val="0"/>
                <w:szCs w:val="22"/>
              </w:rPr>
              <w:t>Human adenovirus serotype 5 (HAdV-5)</w:t>
            </w:r>
          </w:p>
        </w:tc>
      </w:tr>
      <w:tr w:rsidR="005E10BF" w:rsidRPr="005E10BF" w14:paraId="4E992204" w14:textId="77777777" w:rsidTr="00441923">
        <w:trPr>
          <w:trHeight w:val="708"/>
          <w:jc w:val="center"/>
        </w:trPr>
        <w:tc>
          <w:tcPr>
            <w:tcW w:w="2325" w:type="dxa"/>
          </w:tcPr>
          <w:p w14:paraId="64189400" w14:textId="77777777" w:rsidR="005E10BF" w:rsidRPr="005E10BF" w:rsidRDefault="005E10BF" w:rsidP="005E10BF">
            <w:pPr>
              <w:keepNext/>
              <w:tabs>
                <w:tab w:val="right" w:leader="dot" w:pos="9356"/>
              </w:tabs>
              <w:spacing w:before="80" w:after="40"/>
              <w:rPr>
                <w:rFonts w:cs="Calibri"/>
                <w:b/>
                <w:bCs/>
                <w:snapToGrid w:val="0"/>
                <w:szCs w:val="22"/>
              </w:rPr>
            </w:pPr>
            <w:r w:rsidRPr="005E10BF">
              <w:rPr>
                <w:rFonts w:cs="Calibri"/>
                <w:b/>
                <w:bCs/>
                <w:snapToGrid w:val="0"/>
                <w:szCs w:val="22"/>
              </w:rPr>
              <w:t>Genetic modifications</w:t>
            </w:r>
          </w:p>
        </w:tc>
        <w:tc>
          <w:tcPr>
            <w:tcW w:w="7067" w:type="dxa"/>
          </w:tcPr>
          <w:p w14:paraId="1DF2BECF" w14:textId="77777777" w:rsidR="005E10BF" w:rsidRPr="005E10BF" w:rsidRDefault="005E10BF" w:rsidP="005E10BF">
            <w:pPr>
              <w:keepNext/>
              <w:numPr>
                <w:ilvl w:val="0"/>
                <w:numId w:val="10"/>
              </w:numPr>
              <w:tabs>
                <w:tab w:val="right" w:leader="dot" w:pos="9356"/>
              </w:tabs>
              <w:spacing w:before="80" w:after="40"/>
              <w:rPr>
                <w:rFonts w:cs="Calibri"/>
                <w:snapToGrid w:val="0"/>
                <w:szCs w:val="22"/>
              </w:rPr>
            </w:pPr>
            <w:r w:rsidRPr="005E10BF">
              <w:rPr>
                <w:rFonts w:cs="Calibri"/>
                <w:snapToGrid w:val="0"/>
                <w:szCs w:val="22"/>
              </w:rPr>
              <w:t>Deletion of viral early-transcribed region 1 (E1) - to render virus unable to multiply</w:t>
            </w:r>
          </w:p>
          <w:p w14:paraId="048ED9E1" w14:textId="77777777" w:rsidR="005E10BF" w:rsidRPr="005E10BF" w:rsidRDefault="005E10BF" w:rsidP="005E10BF">
            <w:pPr>
              <w:keepNext/>
              <w:numPr>
                <w:ilvl w:val="0"/>
                <w:numId w:val="10"/>
              </w:numPr>
              <w:tabs>
                <w:tab w:val="right" w:leader="dot" w:pos="9356"/>
              </w:tabs>
              <w:spacing w:before="80" w:after="40"/>
              <w:rPr>
                <w:rFonts w:cs="Calibri"/>
                <w:snapToGrid w:val="0"/>
                <w:szCs w:val="22"/>
              </w:rPr>
            </w:pPr>
            <w:r w:rsidRPr="005E10BF">
              <w:rPr>
                <w:rFonts w:cs="Calibri"/>
                <w:snapToGrid w:val="0"/>
                <w:szCs w:val="22"/>
              </w:rPr>
              <w:t>Deletion of viral early-transcribed region 3 (E3) - to increase host immune response to the virus</w:t>
            </w:r>
          </w:p>
          <w:p w14:paraId="77493592" w14:textId="77777777" w:rsidR="005E10BF" w:rsidRPr="005E10BF" w:rsidRDefault="005E10BF" w:rsidP="005E10BF">
            <w:pPr>
              <w:keepNext/>
              <w:numPr>
                <w:ilvl w:val="0"/>
                <w:numId w:val="10"/>
              </w:numPr>
              <w:tabs>
                <w:tab w:val="right" w:leader="dot" w:pos="9356"/>
              </w:tabs>
              <w:spacing w:before="80" w:after="40"/>
              <w:rPr>
                <w:rFonts w:cs="Calibri"/>
                <w:snapToGrid w:val="0"/>
                <w:szCs w:val="22"/>
              </w:rPr>
            </w:pPr>
            <w:r w:rsidRPr="005E10BF">
              <w:rPr>
                <w:rFonts w:cs="Calibri"/>
                <w:snapToGrid w:val="0"/>
                <w:szCs w:val="22"/>
              </w:rPr>
              <w:t xml:space="preserve">Insertion of antigen genes – to induce host immune response against tumour cells </w:t>
            </w:r>
          </w:p>
        </w:tc>
      </w:tr>
      <w:tr w:rsidR="005E10BF" w:rsidRPr="005E10BF" w14:paraId="19206635" w14:textId="77777777" w:rsidTr="00441923">
        <w:trPr>
          <w:jc w:val="center"/>
        </w:trPr>
        <w:tc>
          <w:tcPr>
            <w:tcW w:w="2325" w:type="dxa"/>
          </w:tcPr>
          <w:p w14:paraId="63BAD695" w14:textId="77777777" w:rsidR="005E10BF" w:rsidRPr="005E10BF" w:rsidRDefault="005E10BF" w:rsidP="005E10BF">
            <w:pPr>
              <w:keepNext/>
              <w:tabs>
                <w:tab w:val="right" w:leader="dot" w:pos="9356"/>
              </w:tabs>
              <w:spacing w:before="80" w:after="40"/>
              <w:rPr>
                <w:rFonts w:cs="Calibri"/>
                <w:b/>
                <w:bCs/>
                <w:snapToGrid w:val="0"/>
                <w:szCs w:val="22"/>
              </w:rPr>
            </w:pPr>
            <w:r w:rsidRPr="005E10BF">
              <w:rPr>
                <w:rFonts w:cs="Calibri"/>
                <w:b/>
                <w:bCs/>
                <w:snapToGrid w:val="0"/>
                <w:szCs w:val="22"/>
              </w:rPr>
              <w:t>Principal purpose</w:t>
            </w:r>
          </w:p>
        </w:tc>
        <w:tc>
          <w:tcPr>
            <w:tcW w:w="7067" w:type="dxa"/>
          </w:tcPr>
          <w:p w14:paraId="11C6F7E2" w14:textId="77777777" w:rsidR="005E10BF" w:rsidRPr="005E10BF" w:rsidRDefault="005E10BF" w:rsidP="005E10BF">
            <w:pPr>
              <w:keepNext/>
              <w:tabs>
                <w:tab w:val="right" w:leader="dot" w:pos="9356"/>
              </w:tabs>
              <w:spacing w:before="80" w:after="40"/>
              <w:rPr>
                <w:rFonts w:cs="Calibri"/>
                <w:snapToGrid w:val="0"/>
                <w:szCs w:val="22"/>
              </w:rPr>
            </w:pPr>
            <w:r w:rsidRPr="005E10BF">
              <w:rPr>
                <w:rFonts w:cs="Calibri"/>
                <w:snapToGrid w:val="0"/>
                <w:szCs w:val="22"/>
              </w:rPr>
              <w:t xml:space="preserve">The proposed trial aims to evaluate the immunogenicity, safety and efficacy of a GM vaccine in Tasmanian devils </w:t>
            </w:r>
            <w:bookmarkStart w:id="12" w:name="_Hlk120867107"/>
            <w:r w:rsidRPr="005E10BF">
              <w:rPr>
                <w:rFonts w:cs="Calibri"/>
                <w:snapToGrid w:val="0"/>
                <w:szCs w:val="22"/>
              </w:rPr>
              <w:t xml:space="preserve">for prevention and/or treatment of devil facial tumour disease </w:t>
            </w:r>
            <w:bookmarkEnd w:id="12"/>
          </w:p>
        </w:tc>
      </w:tr>
      <w:tr w:rsidR="005E10BF" w:rsidRPr="005E10BF" w14:paraId="05917FD7" w14:textId="77777777" w:rsidTr="00441923">
        <w:trPr>
          <w:jc w:val="center"/>
        </w:trPr>
        <w:tc>
          <w:tcPr>
            <w:tcW w:w="2325" w:type="dxa"/>
          </w:tcPr>
          <w:p w14:paraId="0AFDAF36" w14:textId="77777777" w:rsidR="005E10BF" w:rsidRPr="005E10BF" w:rsidRDefault="005E10BF" w:rsidP="005E10BF">
            <w:pPr>
              <w:keepNext/>
              <w:tabs>
                <w:tab w:val="right" w:leader="dot" w:pos="9356"/>
              </w:tabs>
              <w:spacing w:before="80" w:after="40"/>
              <w:rPr>
                <w:rFonts w:cs="Calibri"/>
                <w:b/>
                <w:bCs/>
                <w:snapToGrid w:val="0"/>
                <w:szCs w:val="22"/>
              </w:rPr>
            </w:pPr>
            <w:r w:rsidRPr="005E10BF">
              <w:rPr>
                <w:rFonts w:cs="Calibri"/>
                <w:b/>
                <w:bCs/>
                <w:snapToGrid w:val="0"/>
                <w:szCs w:val="22"/>
              </w:rPr>
              <w:t>Previous trial</w:t>
            </w:r>
          </w:p>
        </w:tc>
        <w:tc>
          <w:tcPr>
            <w:tcW w:w="7067" w:type="dxa"/>
          </w:tcPr>
          <w:p w14:paraId="413767AF" w14:textId="1F80F2B2" w:rsidR="005E10BF" w:rsidRPr="005E10BF" w:rsidRDefault="005E10BF" w:rsidP="005E10BF">
            <w:pPr>
              <w:keepNext/>
              <w:tabs>
                <w:tab w:val="right" w:leader="dot" w:pos="9356"/>
              </w:tabs>
              <w:spacing w:before="80" w:after="40"/>
              <w:rPr>
                <w:rFonts w:cs="Calibri"/>
                <w:snapToGrid w:val="0"/>
                <w:szCs w:val="22"/>
              </w:rPr>
            </w:pPr>
            <w:r w:rsidRPr="005E10BF">
              <w:rPr>
                <w:rFonts w:cs="Calibri"/>
                <w:snapToGrid w:val="0"/>
                <w:szCs w:val="22"/>
              </w:rPr>
              <w:t>The proposed study would be the first trial to be conducted with the GM vaccine</w:t>
            </w:r>
          </w:p>
        </w:tc>
      </w:tr>
      <w:tr w:rsidR="005E10BF" w:rsidRPr="005E10BF" w14:paraId="31B4EC06" w14:textId="77777777" w:rsidTr="00441923">
        <w:trPr>
          <w:jc w:val="center"/>
        </w:trPr>
        <w:tc>
          <w:tcPr>
            <w:tcW w:w="9392" w:type="dxa"/>
            <w:gridSpan w:val="2"/>
          </w:tcPr>
          <w:p w14:paraId="39E217B9" w14:textId="77777777" w:rsidR="005E10BF" w:rsidRPr="005E10BF" w:rsidRDefault="005E10BF" w:rsidP="005E10BF">
            <w:pPr>
              <w:keepNext/>
              <w:tabs>
                <w:tab w:val="right" w:leader="dot" w:pos="9356"/>
              </w:tabs>
              <w:spacing w:before="80" w:after="40"/>
              <w:rPr>
                <w:rFonts w:cs="Calibri"/>
                <w:b/>
                <w:bCs/>
                <w:snapToGrid w:val="0"/>
                <w:szCs w:val="22"/>
              </w:rPr>
            </w:pPr>
            <w:r w:rsidRPr="005E10BF">
              <w:rPr>
                <w:rFonts w:cs="Calibri"/>
                <w:b/>
                <w:bCs/>
                <w:snapToGrid w:val="0"/>
                <w:szCs w:val="22"/>
              </w:rPr>
              <w:t>Proposed limits and controls</w:t>
            </w:r>
          </w:p>
        </w:tc>
      </w:tr>
      <w:tr w:rsidR="005E10BF" w:rsidRPr="005E10BF" w14:paraId="1386CC5D" w14:textId="77777777" w:rsidTr="00441923">
        <w:trPr>
          <w:jc w:val="center"/>
        </w:trPr>
        <w:tc>
          <w:tcPr>
            <w:tcW w:w="2325" w:type="dxa"/>
          </w:tcPr>
          <w:p w14:paraId="04CF7787" w14:textId="77777777" w:rsidR="005E10BF" w:rsidRPr="005E10BF" w:rsidRDefault="005E10BF" w:rsidP="005E10BF">
            <w:pPr>
              <w:keepNext/>
              <w:tabs>
                <w:tab w:val="right" w:leader="dot" w:pos="9356"/>
              </w:tabs>
              <w:spacing w:before="80" w:after="40"/>
              <w:rPr>
                <w:rFonts w:cs="Calibri"/>
                <w:b/>
                <w:bCs/>
                <w:snapToGrid w:val="0"/>
                <w:szCs w:val="22"/>
              </w:rPr>
            </w:pPr>
            <w:r w:rsidRPr="005E10BF">
              <w:rPr>
                <w:rFonts w:cs="Calibri"/>
                <w:b/>
                <w:bCs/>
                <w:snapToGrid w:val="0"/>
                <w:szCs w:val="22"/>
              </w:rPr>
              <w:t>Proposed duration</w:t>
            </w:r>
          </w:p>
        </w:tc>
        <w:tc>
          <w:tcPr>
            <w:tcW w:w="7067" w:type="dxa"/>
          </w:tcPr>
          <w:p w14:paraId="26292540" w14:textId="77777777" w:rsidR="005E10BF" w:rsidRPr="005E10BF" w:rsidRDefault="005E10BF" w:rsidP="005E10BF">
            <w:pPr>
              <w:keepNext/>
              <w:tabs>
                <w:tab w:val="right" w:leader="dot" w:pos="9356"/>
              </w:tabs>
              <w:spacing w:before="80" w:after="40"/>
              <w:rPr>
                <w:rFonts w:cs="Calibri"/>
                <w:snapToGrid w:val="0"/>
                <w:szCs w:val="22"/>
              </w:rPr>
            </w:pPr>
            <w:r w:rsidRPr="005E10BF">
              <w:rPr>
                <w:rFonts w:cs="Calibri"/>
                <w:snapToGrid w:val="0"/>
                <w:szCs w:val="22"/>
              </w:rPr>
              <w:t>5 years</w:t>
            </w:r>
          </w:p>
        </w:tc>
      </w:tr>
      <w:tr w:rsidR="005E10BF" w:rsidRPr="005E10BF" w14:paraId="48F3C33F" w14:textId="77777777" w:rsidTr="00441923">
        <w:trPr>
          <w:jc w:val="center"/>
        </w:trPr>
        <w:tc>
          <w:tcPr>
            <w:tcW w:w="2325" w:type="dxa"/>
          </w:tcPr>
          <w:p w14:paraId="355AC388" w14:textId="77777777" w:rsidR="005E10BF" w:rsidRPr="005E10BF" w:rsidRDefault="005E10BF" w:rsidP="005E10BF">
            <w:pPr>
              <w:keepNext/>
              <w:tabs>
                <w:tab w:val="right" w:leader="dot" w:pos="9356"/>
              </w:tabs>
              <w:spacing w:before="80" w:after="40"/>
              <w:rPr>
                <w:rFonts w:cs="Calibri"/>
                <w:b/>
                <w:bCs/>
                <w:snapToGrid w:val="0"/>
                <w:szCs w:val="22"/>
              </w:rPr>
            </w:pPr>
            <w:r w:rsidRPr="005E10BF">
              <w:rPr>
                <w:rFonts w:cs="Calibri"/>
                <w:b/>
                <w:bCs/>
                <w:snapToGrid w:val="0"/>
                <w:szCs w:val="22"/>
              </w:rPr>
              <w:t>Proposed trial size</w:t>
            </w:r>
          </w:p>
        </w:tc>
        <w:tc>
          <w:tcPr>
            <w:tcW w:w="7067" w:type="dxa"/>
          </w:tcPr>
          <w:p w14:paraId="760C17A3" w14:textId="77777777" w:rsidR="005E10BF" w:rsidRPr="005E10BF" w:rsidRDefault="005E10BF" w:rsidP="005E10BF">
            <w:pPr>
              <w:keepNext/>
              <w:tabs>
                <w:tab w:val="right" w:leader="dot" w:pos="9356"/>
              </w:tabs>
              <w:spacing w:before="80" w:after="40"/>
              <w:rPr>
                <w:rFonts w:cs="Calibri"/>
                <w:snapToGrid w:val="0"/>
                <w:szCs w:val="22"/>
              </w:rPr>
            </w:pPr>
            <w:r w:rsidRPr="005E10BF">
              <w:rPr>
                <w:rFonts w:cs="Calibri"/>
                <w:snapToGrid w:val="0"/>
                <w:szCs w:val="22"/>
              </w:rPr>
              <w:t>22 Tasmanian devils</w:t>
            </w:r>
          </w:p>
        </w:tc>
      </w:tr>
      <w:tr w:rsidR="005E10BF" w:rsidRPr="005E10BF" w14:paraId="64AFF37B" w14:textId="77777777" w:rsidTr="00441923">
        <w:trPr>
          <w:jc w:val="center"/>
        </w:trPr>
        <w:tc>
          <w:tcPr>
            <w:tcW w:w="2325" w:type="dxa"/>
          </w:tcPr>
          <w:p w14:paraId="4A962B9E" w14:textId="77777777" w:rsidR="005E10BF" w:rsidRPr="005E10BF" w:rsidRDefault="005E10BF" w:rsidP="005E10BF">
            <w:pPr>
              <w:keepNext/>
              <w:tabs>
                <w:tab w:val="right" w:leader="dot" w:pos="9356"/>
              </w:tabs>
              <w:spacing w:before="80" w:after="40"/>
              <w:rPr>
                <w:rFonts w:cs="Calibri"/>
                <w:b/>
                <w:bCs/>
                <w:snapToGrid w:val="0"/>
                <w:szCs w:val="22"/>
              </w:rPr>
            </w:pPr>
            <w:r w:rsidRPr="005E10BF">
              <w:rPr>
                <w:rFonts w:cs="Calibri"/>
                <w:b/>
                <w:bCs/>
                <w:snapToGrid w:val="0"/>
                <w:szCs w:val="22"/>
              </w:rPr>
              <w:t>Proposed locations</w:t>
            </w:r>
          </w:p>
        </w:tc>
        <w:tc>
          <w:tcPr>
            <w:tcW w:w="7067" w:type="dxa"/>
          </w:tcPr>
          <w:p w14:paraId="7E141D2B" w14:textId="77777777" w:rsidR="005E10BF" w:rsidRPr="005E10BF" w:rsidRDefault="005E10BF" w:rsidP="005E10BF">
            <w:pPr>
              <w:keepNext/>
              <w:tabs>
                <w:tab w:val="right" w:leader="dot" w:pos="9356"/>
              </w:tabs>
              <w:spacing w:before="80" w:after="40"/>
              <w:rPr>
                <w:rFonts w:cs="Calibri"/>
                <w:snapToGrid w:val="0"/>
                <w:szCs w:val="22"/>
              </w:rPr>
            </w:pPr>
            <w:r w:rsidRPr="005E10BF">
              <w:rPr>
                <w:rFonts w:cs="Calibri"/>
                <w:snapToGrid w:val="0"/>
                <w:szCs w:val="22"/>
              </w:rPr>
              <w:t>Two contained trial sites in Tasmania</w:t>
            </w:r>
          </w:p>
        </w:tc>
      </w:tr>
      <w:tr w:rsidR="005E10BF" w:rsidRPr="005E10BF" w14:paraId="1AE1AAA0" w14:textId="77777777" w:rsidTr="00441923">
        <w:trPr>
          <w:jc w:val="center"/>
        </w:trPr>
        <w:tc>
          <w:tcPr>
            <w:tcW w:w="2325" w:type="dxa"/>
          </w:tcPr>
          <w:p w14:paraId="4D1C8F13" w14:textId="77777777" w:rsidR="005E10BF" w:rsidRPr="005E10BF" w:rsidRDefault="005E10BF" w:rsidP="005E10BF">
            <w:pPr>
              <w:keepNext/>
              <w:tabs>
                <w:tab w:val="right" w:leader="dot" w:pos="9356"/>
              </w:tabs>
              <w:spacing w:before="80" w:after="40"/>
              <w:rPr>
                <w:rFonts w:cs="Calibri"/>
                <w:b/>
                <w:bCs/>
                <w:snapToGrid w:val="0"/>
                <w:szCs w:val="22"/>
              </w:rPr>
            </w:pPr>
            <w:r w:rsidRPr="005E10BF">
              <w:rPr>
                <w:rFonts w:cs="Calibri"/>
                <w:b/>
                <w:bCs/>
                <w:snapToGrid w:val="0"/>
                <w:szCs w:val="22"/>
              </w:rPr>
              <w:t>Proposed controls</w:t>
            </w:r>
          </w:p>
        </w:tc>
        <w:tc>
          <w:tcPr>
            <w:tcW w:w="7067" w:type="dxa"/>
          </w:tcPr>
          <w:p w14:paraId="5BA99A20" w14:textId="77777777" w:rsidR="005E10BF" w:rsidRPr="005E10BF" w:rsidRDefault="005E10BF" w:rsidP="005E10BF">
            <w:pPr>
              <w:keepNext/>
              <w:numPr>
                <w:ilvl w:val="0"/>
                <w:numId w:val="10"/>
              </w:numPr>
              <w:tabs>
                <w:tab w:val="right" w:leader="dot" w:pos="9356"/>
              </w:tabs>
              <w:spacing w:before="80" w:after="40"/>
              <w:rPr>
                <w:rFonts w:cs="Calibri"/>
                <w:snapToGrid w:val="0"/>
                <w:szCs w:val="22"/>
              </w:rPr>
            </w:pPr>
            <w:r w:rsidRPr="005E10BF">
              <w:rPr>
                <w:rFonts w:cs="Calibri"/>
                <w:snapToGrid w:val="0"/>
                <w:szCs w:val="22"/>
              </w:rPr>
              <w:t>only registered veterinarians would administer the GMO</w:t>
            </w:r>
          </w:p>
          <w:p w14:paraId="148AAFBE" w14:textId="77777777" w:rsidR="005E10BF" w:rsidRPr="005E10BF" w:rsidRDefault="005E10BF" w:rsidP="005E10BF">
            <w:pPr>
              <w:keepNext/>
              <w:numPr>
                <w:ilvl w:val="0"/>
                <w:numId w:val="10"/>
              </w:numPr>
              <w:tabs>
                <w:tab w:val="right" w:leader="dot" w:pos="9356"/>
              </w:tabs>
              <w:spacing w:before="80" w:after="40"/>
              <w:rPr>
                <w:rFonts w:cs="Calibri"/>
                <w:snapToGrid w:val="0"/>
                <w:szCs w:val="22"/>
              </w:rPr>
            </w:pPr>
            <w:r w:rsidRPr="005E10BF">
              <w:rPr>
                <w:rFonts w:cs="Calibri"/>
                <w:snapToGrid w:val="0"/>
                <w:szCs w:val="22"/>
              </w:rPr>
              <w:t>only trained and authorised personnel would access the trial sites</w:t>
            </w:r>
          </w:p>
          <w:p w14:paraId="2784D801" w14:textId="77777777" w:rsidR="005E10BF" w:rsidRPr="005E10BF" w:rsidRDefault="005E10BF" w:rsidP="005E10BF">
            <w:pPr>
              <w:keepNext/>
              <w:numPr>
                <w:ilvl w:val="0"/>
                <w:numId w:val="10"/>
              </w:numPr>
              <w:tabs>
                <w:tab w:val="right" w:leader="dot" w:pos="9356"/>
              </w:tabs>
              <w:spacing w:before="80" w:after="40"/>
              <w:rPr>
                <w:rFonts w:cs="Calibri"/>
                <w:snapToGrid w:val="0"/>
                <w:szCs w:val="22"/>
              </w:rPr>
            </w:pPr>
            <w:r w:rsidRPr="005E10BF">
              <w:rPr>
                <w:rFonts w:cs="Calibri"/>
                <w:snapToGrid w:val="0"/>
                <w:szCs w:val="22"/>
              </w:rPr>
              <w:t>personnel would use personal protective equipment (PPE)</w:t>
            </w:r>
          </w:p>
          <w:p w14:paraId="2E5F58E2" w14:textId="77777777" w:rsidR="005E10BF" w:rsidRPr="005E10BF" w:rsidRDefault="005E10BF" w:rsidP="005E10BF">
            <w:pPr>
              <w:numPr>
                <w:ilvl w:val="0"/>
                <w:numId w:val="10"/>
              </w:numPr>
              <w:tabs>
                <w:tab w:val="left" w:pos="5670"/>
                <w:tab w:val="left" w:pos="6946"/>
                <w:tab w:val="left" w:pos="7655"/>
              </w:tabs>
              <w:spacing w:before="60" w:after="60"/>
              <w:contextualSpacing/>
              <w:rPr>
                <w:rFonts w:cs="Calibri"/>
                <w:szCs w:val="22"/>
                <w:lang w:eastAsia="en-US"/>
              </w:rPr>
            </w:pPr>
            <w:r w:rsidRPr="005E10BF">
              <w:rPr>
                <w:rFonts w:cs="Calibri"/>
                <w:noProof/>
                <w:szCs w:val="22"/>
                <w:lang w:eastAsia="en-US"/>
              </w:rPr>
              <w:t>transport</w:t>
            </w:r>
            <w:r w:rsidRPr="005E10BF">
              <w:rPr>
                <w:rFonts w:cs="Calibri"/>
                <w:szCs w:val="22"/>
                <w:lang w:eastAsia="en-US"/>
              </w:rPr>
              <w:t xml:space="preserve">, storage and disposal of the GMO would be carried out according to the OGTR </w:t>
            </w:r>
            <w:r w:rsidRPr="005E10BF">
              <w:rPr>
                <w:rFonts w:cs="Calibri"/>
                <w:i/>
                <w:iCs/>
                <w:szCs w:val="22"/>
                <w:lang w:eastAsia="en-US"/>
              </w:rPr>
              <w:t>Guidelines for the</w:t>
            </w:r>
            <w:r w:rsidRPr="005E10BF">
              <w:rPr>
                <w:rFonts w:cs="Calibri"/>
                <w:szCs w:val="22"/>
                <w:lang w:eastAsia="en-US"/>
              </w:rPr>
              <w:t xml:space="preserve"> T</w:t>
            </w:r>
            <w:r w:rsidRPr="005E10BF">
              <w:rPr>
                <w:rFonts w:cs="Calibri"/>
                <w:i/>
                <w:szCs w:val="22"/>
                <w:lang w:eastAsia="en-US"/>
              </w:rPr>
              <w:t>ransport, Storage and Disposal of</w:t>
            </w:r>
            <w:r w:rsidRPr="005E10BF">
              <w:rPr>
                <w:rFonts w:cs="Calibri"/>
                <w:szCs w:val="22"/>
                <w:lang w:eastAsia="en-US"/>
              </w:rPr>
              <w:t xml:space="preserve"> GMOs.</w:t>
            </w:r>
          </w:p>
        </w:tc>
      </w:tr>
    </w:tbl>
    <w:p w14:paraId="74343FDB" w14:textId="77777777" w:rsidR="005E10BF" w:rsidRPr="005E10BF" w:rsidRDefault="005E10BF" w:rsidP="005E10BF">
      <w:pPr>
        <w:keepNext/>
        <w:spacing w:before="240" w:after="60"/>
        <w:outlineLvl w:val="1"/>
        <w:rPr>
          <w:rFonts w:cs="Calibri"/>
          <w:b/>
          <w:bCs/>
          <w:i/>
          <w:iCs/>
          <w:sz w:val="28"/>
          <w:szCs w:val="28"/>
          <w:lang w:eastAsia="en-US"/>
        </w:rPr>
      </w:pPr>
      <w:bookmarkStart w:id="13" w:name="_Toc105688450"/>
      <w:bookmarkStart w:id="14" w:name="_Toc127611674"/>
      <w:bookmarkStart w:id="15" w:name="_Toc127611716"/>
      <w:bookmarkStart w:id="16" w:name="_Toc127612246"/>
      <w:bookmarkStart w:id="17" w:name="_Toc127612329"/>
      <w:r w:rsidRPr="005E10BF">
        <w:rPr>
          <w:rFonts w:cs="Calibri"/>
          <w:b/>
          <w:bCs/>
          <w:i/>
          <w:iCs/>
          <w:sz w:val="28"/>
          <w:szCs w:val="28"/>
          <w:lang w:eastAsia="en-US"/>
        </w:rPr>
        <w:t>Risk assessment</w:t>
      </w:r>
      <w:bookmarkEnd w:id="13"/>
      <w:bookmarkEnd w:id="14"/>
      <w:bookmarkEnd w:id="15"/>
      <w:bookmarkEnd w:id="16"/>
      <w:bookmarkEnd w:id="17"/>
    </w:p>
    <w:p w14:paraId="1382B4EA" w14:textId="77777777" w:rsidR="005E10BF" w:rsidRPr="005E10BF" w:rsidRDefault="005E10BF" w:rsidP="005E10BF">
      <w:pPr>
        <w:spacing w:before="0" w:after="240"/>
        <w:rPr>
          <w:rFonts w:asciiTheme="minorHAnsi" w:eastAsiaTheme="minorEastAsia" w:hAnsiTheme="minorHAnsi" w:cstheme="minorHAnsi"/>
          <w:lang w:eastAsia="en-US"/>
        </w:rPr>
      </w:pPr>
      <w:r w:rsidRPr="005E10BF">
        <w:rPr>
          <w:rFonts w:cs="Calibri"/>
          <w:lang w:eastAsia="en-US"/>
        </w:rPr>
        <w:t xml:space="preserve">The risk assessment concludes that risks to the health and safety of people or the environment from the proposed trial are </w:t>
      </w:r>
      <w:r w:rsidRPr="005E10BF">
        <w:rPr>
          <w:rFonts w:cs="Calibri"/>
          <w:bCs/>
          <w:lang w:eastAsia="en-US"/>
        </w:rPr>
        <w:t>negligible</w:t>
      </w:r>
      <w:r w:rsidRPr="005E10BF">
        <w:rPr>
          <w:rFonts w:cs="Calibri"/>
          <w:lang w:eastAsia="en-US"/>
        </w:rPr>
        <w:t>. N</w:t>
      </w:r>
      <w:r w:rsidRPr="005E10BF">
        <w:rPr>
          <w:rFonts w:cs="Calibri"/>
          <w:bCs/>
          <w:lang w:eastAsia="en-US"/>
        </w:rPr>
        <w:t xml:space="preserve">o specific risk treatment measures are required to manage these </w:t>
      </w:r>
      <w:r w:rsidRPr="005E10BF">
        <w:rPr>
          <w:rFonts w:asciiTheme="minorHAnsi" w:eastAsiaTheme="minorEastAsia" w:hAnsiTheme="minorHAnsi" w:cstheme="minorHAnsi"/>
          <w:lang w:eastAsia="en-US"/>
        </w:rPr>
        <w:t>negligible risks.</w:t>
      </w:r>
    </w:p>
    <w:p w14:paraId="2FF524A2" w14:textId="77777777" w:rsidR="005E10BF" w:rsidRPr="005E10BF" w:rsidRDefault="005E10BF" w:rsidP="005E10BF">
      <w:pPr>
        <w:spacing w:before="0" w:after="240"/>
        <w:rPr>
          <w:rFonts w:cs="Calibri"/>
          <w:lang w:eastAsia="en-US"/>
        </w:rPr>
      </w:pPr>
      <w:r w:rsidRPr="005E10BF">
        <w:rPr>
          <w:rFonts w:asciiTheme="minorHAnsi" w:eastAsiaTheme="minorEastAsia" w:hAnsiTheme="minorHAnsi" w:cstheme="minorHAnsi"/>
          <w:lang w:eastAsia="en-US"/>
        </w:rPr>
        <w:t>The risk assessment process considers how the genetic modifications and proposed activities conducted with</w:t>
      </w:r>
      <w:r w:rsidRPr="005E10BF">
        <w:rPr>
          <w:rFonts w:cs="Calibri"/>
          <w:lang w:eastAsia="en-US"/>
        </w:rPr>
        <w:t xml:space="preserve"> the GMO might lead to harm to people or the environment. Risks are characterised in relation to both the seriousness and likelihood of harm, considering information in the application (including proposed controls), relevant previous approvals and current scientific/technical knowledge. Both the short- and long-term impact are considered.</w:t>
      </w:r>
    </w:p>
    <w:p w14:paraId="6A8B25B4" w14:textId="77777777" w:rsidR="005E10BF" w:rsidRPr="005E10BF" w:rsidRDefault="005E10BF" w:rsidP="005E10BF">
      <w:pPr>
        <w:spacing w:before="0" w:after="240"/>
        <w:rPr>
          <w:rFonts w:cs="Calibri"/>
          <w:lang w:eastAsia="en-US"/>
        </w:rPr>
      </w:pPr>
      <w:r w:rsidRPr="005E10BF">
        <w:rPr>
          <w:rFonts w:cs="Calibri"/>
          <w:szCs w:val="22"/>
          <w:lang w:eastAsia="en-US"/>
        </w:rPr>
        <w:t>Credible pathways to potential harm that were considered include the potential exposure of people and animals other than the Tasmanian devils to the GMO and the potential for the GMO to transfer or acquire genetic material from other viruses. The potential for the GMO to be released into the environment and its effects were also considered.</w:t>
      </w:r>
    </w:p>
    <w:p w14:paraId="773255D6" w14:textId="77777777" w:rsidR="005E10BF" w:rsidRPr="005E10BF" w:rsidRDefault="005E10BF" w:rsidP="005E10BF">
      <w:pPr>
        <w:autoSpaceDE w:val="0"/>
        <w:autoSpaceDN w:val="0"/>
        <w:adjustRightInd w:val="0"/>
        <w:spacing w:before="0" w:after="0"/>
        <w:rPr>
          <w:rFonts w:cs="Calibri"/>
          <w:szCs w:val="22"/>
          <w:lang w:eastAsia="en-US"/>
        </w:rPr>
      </w:pPr>
      <w:r w:rsidRPr="005E10BF">
        <w:rPr>
          <w:rFonts w:cs="Calibri"/>
          <w:szCs w:val="22"/>
          <w:lang w:eastAsia="en-US"/>
        </w:rPr>
        <w:lastRenderedPageBreak/>
        <w:t xml:space="preserve">Important factors in reaching the conclusions of the risk assessment included that the GMO is replication defective, and unintended exposure to the GMOs would be minimised by the proposed limits and controls measures. </w:t>
      </w:r>
    </w:p>
    <w:p w14:paraId="6113DEB6" w14:textId="77777777" w:rsidR="005E10BF" w:rsidRPr="005E10BF" w:rsidRDefault="005E10BF" w:rsidP="005E10BF">
      <w:pPr>
        <w:rPr>
          <w:rFonts w:cs="Calibri"/>
          <w:highlight w:val="yellow"/>
          <w:lang w:eastAsia="en-US"/>
        </w:rPr>
      </w:pPr>
      <w:r w:rsidRPr="005E10BF">
        <w:rPr>
          <w:rFonts w:cs="Calibri"/>
          <w:lang w:eastAsia="en-US"/>
        </w:rPr>
        <w:t>As risks to the health and safety of people, or the environment, from the proposed trial of the GMO</w:t>
      </w:r>
      <w:r w:rsidRPr="005E10BF">
        <w:rPr>
          <w:rFonts w:cs="Calibri"/>
          <w:i/>
          <w:iCs/>
          <w:lang w:eastAsia="en-US"/>
        </w:rPr>
        <w:t xml:space="preserve"> </w:t>
      </w:r>
      <w:r w:rsidRPr="005E10BF">
        <w:rPr>
          <w:rFonts w:cs="Calibri"/>
          <w:lang w:eastAsia="en-US"/>
        </w:rPr>
        <w:t xml:space="preserve">treatment have been assessed as negligible, the Regulator considers that the dealings involved do not pose a significant risk to either people or the environment. </w:t>
      </w:r>
    </w:p>
    <w:p w14:paraId="5253E294" w14:textId="77777777" w:rsidR="005E10BF" w:rsidRPr="005E10BF" w:rsidRDefault="005E10BF" w:rsidP="005E10BF">
      <w:pPr>
        <w:keepNext/>
        <w:spacing w:before="240" w:after="60"/>
        <w:outlineLvl w:val="1"/>
        <w:rPr>
          <w:rFonts w:cs="Calibri"/>
          <w:b/>
          <w:bCs/>
          <w:i/>
          <w:iCs/>
          <w:sz w:val="28"/>
          <w:szCs w:val="28"/>
          <w:lang w:eastAsia="en-US"/>
        </w:rPr>
      </w:pPr>
      <w:bookmarkStart w:id="18" w:name="_Toc47536737"/>
      <w:bookmarkStart w:id="19" w:name="_Toc105688451"/>
      <w:bookmarkStart w:id="20" w:name="_Toc127611675"/>
      <w:bookmarkStart w:id="21" w:name="_Toc127611717"/>
      <w:bookmarkStart w:id="22" w:name="_Toc127612247"/>
      <w:bookmarkStart w:id="23" w:name="_Toc127612330"/>
      <w:r w:rsidRPr="005E10BF">
        <w:rPr>
          <w:rFonts w:cs="Calibri"/>
          <w:b/>
          <w:bCs/>
          <w:i/>
          <w:iCs/>
          <w:sz w:val="28"/>
          <w:szCs w:val="28"/>
          <w:lang w:eastAsia="en-US"/>
        </w:rPr>
        <w:t>Risk ma</w:t>
      </w:r>
      <w:bookmarkStart w:id="24" w:name="_Toc209859549"/>
      <w:bookmarkStart w:id="25" w:name="_Toc342042137"/>
      <w:bookmarkStart w:id="26" w:name="_Toc291151778"/>
      <w:bookmarkStart w:id="27" w:name="_Toc274904728"/>
      <w:r w:rsidRPr="005E10BF">
        <w:rPr>
          <w:rFonts w:cs="Calibri"/>
          <w:b/>
          <w:bCs/>
          <w:i/>
          <w:iCs/>
          <w:sz w:val="28"/>
          <w:szCs w:val="28"/>
          <w:lang w:eastAsia="en-US"/>
        </w:rPr>
        <w:t>nagement</w:t>
      </w:r>
      <w:bookmarkEnd w:id="18"/>
      <w:bookmarkEnd w:id="19"/>
      <w:bookmarkEnd w:id="20"/>
      <w:bookmarkEnd w:id="21"/>
      <w:bookmarkEnd w:id="22"/>
      <w:bookmarkEnd w:id="23"/>
      <w:bookmarkEnd w:id="24"/>
      <w:bookmarkEnd w:id="25"/>
      <w:bookmarkEnd w:id="26"/>
      <w:bookmarkEnd w:id="27"/>
    </w:p>
    <w:p w14:paraId="5A9DDD78" w14:textId="46F66A0D" w:rsidR="005E10BF" w:rsidRPr="005E10BF" w:rsidRDefault="005E10BF" w:rsidP="005E10BF">
      <w:pPr>
        <w:spacing w:before="0" w:after="240"/>
        <w:rPr>
          <w:rFonts w:cs="Calibri"/>
          <w:lang w:eastAsia="en-US"/>
        </w:rPr>
      </w:pPr>
      <w:r w:rsidRPr="005E10BF">
        <w:rPr>
          <w:rFonts w:cs="Calibri"/>
          <w:lang w:eastAsia="en-US"/>
        </w:rPr>
        <w:t>The risk management plan describes measures to protect the health and safety of people and to protect the environment by controlling or mitigating risk. The risk management plan is given effect through licence conditions.</w:t>
      </w:r>
    </w:p>
    <w:p w14:paraId="75462EEA" w14:textId="77777777" w:rsidR="005E10BF" w:rsidRPr="005E10BF" w:rsidRDefault="005E10BF" w:rsidP="005E10BF">
      <w:pPr>
        <w:spacing w:before="0" w:after="240"/>
        <w:rPr>
          <w:rFonts w:cs="Calibri"/>
          <w:lang w:eastAsia="en-US"/>
        </w:rPr>
      </w:pPr>
      <w:r w:rsidRPr="005E10BF">
        <w:rPr>
          <w:rFonts w:cs="Calibri"/>
          <w:lang w:eastAsia="en-US"/>
        </w:rPr>
        <w:t>As the level of risk is considered negligible,</w:t>
      </w:r>
      <w:r w:rsidRPr="005E10BF" w:rsidDel="00DB4CC6">
        <w:rPr>
          <w:rFonts w:cs="Calibri"/>
          <w:lang w:eastAsia="en-US"/>
        </w:rPr>
        <w:t xml:space="preserve"> </w:t>
      </w:r>
      <w:r w:rsidRPr="005E10BF">
        <w:rPr>
          <w:rFonts w:cs="Calibri"/>
          <w:lang w:eastAsia="en-US"/>
        </w:rPr>
        <w:t>specific risk treatment is not required. However, since this is a trial, the licence includes limits on the number of animals included in the trial, types of facilities used, limits on the duration of the trial, as well as a range of controls to minimise the potential for the GMO to spread in the environment. In addition, there are several general conditions relating to ongoing licence holder suitability, auditing and monitoring, and reporting requirements which include an obligation to report any unintended effects.</w:t>
      </w:r>
    </w:p>
    <w:sectPr w:rsidR="005E10BF" w:rsidRPr="005E10BF" w:rsidSect="005E10BF">
      <w:footerReference w:type="default" r:id="rId7"/>
      <w:headerReference w:type="first" r:id="rId8"/>
      <w:pgSz w:w="11906" w:h="16838"/>
      <w:pgMar w:top="1440" w:right="1133"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6F7F4" w14:textId="77777777" w:rsidR="005E10BF" w:rsidRDefault="005E10BF" w:rsidP="005E10BF">
      <w:pPr>
        <w:spacing w:before="0" w:after="0"/>
      </w:pPr>
      <w:r>
        <w:separator/>
      </w:r>
    </w:p>
  </w:endnote>
  <w:endnote w:type="continuationSeparator" w:id="0">
    <w:p w14:paraId="5CFFB84F" w14:textId="77777777" w:rsidR="005E10BF" w:rsidRDefault="005E10BF" w:rsidP="005E10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dobe Devanagari">
    <w:panose1 w:val="02040503050201020203"/>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1FB70" w14:textId="77777777" w:rsidR="005E10BF" w:rsidRPr="00236287" w:rsidRDefault="005E10BF" w:rsidP="005E10BF">
    <w:pPr>
      <w:pBdr>
        <w:top w:val="single" w:sz="8" w:space="0" w:color="auto"/>
      </w:pBdr>
      <w:jc w:val="center"/>
      <w:rPr>
        <w:rFonts w:cs="Calibri"/>
        <w:noProof/>
        <w:sz w:val="20"/>
        <w:szCs w:val="20"/>
      </w:rPr>
    </w:pPr>
    <w:r w:rsidRPr="00236287">
      <w:rPr>
        <w:rFonts w:cs="Calibri"/>
        <w:noProof/>
        <w:sz w:val="20"/>
        <w:szCs w:val="20"/>
      </w:rPr>
      <w:t>Address: MDP 54 GPO Box 9848, Canberra ACT 2601  Website: www.ogtr.gov.au</w:t>
    </w:r>
  </w:p>
  <w:p w14:paraId="7510FF3F" w14:textId="7CE73CB5" w:rsidR="005E10BF" w:rsidRPr="005E10BF" w:rsidRDefault="005E10BF" w:rsidP="005E10BF">
    <w:pPr>
      <w:pStyle w:val="Footer"/>
      <w:jc w:val="center"/>
      <w:rPr>
        <w:rFonts w:cs="Calibri"/>
        <w:sz w:val="20"/>
        <w:szCs w:val="20"/>
      </w:rPr>
    </w:pPr>
    <w:r w:rsidRPr="00236287">
      <w:rPr>
        <w:rFonts w:cs="Calibri"/>
        <w:noProof/>
        <w:sz w:val="20"/>
        <w:szCs w:val="20"/>
      </w:rPr>
      <w:t>Telephone: 1800 181 030  Email: ogtr@health.gov.au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C9F62" w14:textId="77777777" w:rsidR="005E10BF" w:rsidRDefault="005E10BF" w:rsidP="005E10BF">
      <w:pPr>
        <w:spacing w:before="0" w:after="0"/>
      </w:pPr>
      <w:r>
        <w:separator/>
      </w:r>
    </w:p>
  </w:footnote>
  <w:footnote w:type="continuationSeparator" w:id="0">
    <w:p w14:paraId="1203B0C7" w14:textId="77777777" w:rsidR="005E10BF" w:rsidRDefault="005E10BF" w:rsidP="005E10BF">
      <w:pPr>
        <w:spacing w:before="0" w:after="0"/>
      </w:pPr>
      <w:r>
        <w:continuationSeparator/>
      </w:r>
    </w:p>
  </w:footnote>
  <w:footnote w:id="1">
    <w:p w14:paraId="076A381F" w14:textId="77777777" w:rsidR="005E10BF" w:rsidRPr="005E10BF" w:rsidRDefault="005E10BF" w:rsidP="005E10BF">
      <w:pPr>
        <w:pStyle w:val="FootnoteText"/>
        <w:rPr>
          <w:rFonts w:cs="Calibri"/>
        </w:rPr>
      </w:pPr>
      <w:r>
        <w:rPr>
          <w:rStyle w:val="FootnoteReference"/>
        </w:rPr>
        <w:footnoteRef/>
      </w:r>
      <w:r>
        <w:t xml:space="preserve"> </w:t>
      </w:r>
      <w:r w:rsidRPr="005E10BF">
        <w:rPr>
          <w:rFonts w:cs="Calibri"/>
        </w:rPr>
        <w:t>The title of the project as supplied by the applicant is “</w:t>
      </w:r>
      <w:r w:rsidRPr="005E10BF">
        <w:rPr>
          <w:rFonts w:cs="Calibri"/>
          <w:i/>
          <w:iCs/>
        </w:rPr>
        <w:t>Limited and controlled release of a genetically modified adenoviral vaccine for Tasmanian devils</w:t>
      </w:r>
      <w:r w:rsidRPr="005E10BF">
        <w:rPr>
          <w:rFonts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EA94" w14:textId="77777777" w:rsidR="005E10BF" w:rsidRDefault="005E10BF" w:rsidP="005E10BF">
    <w:pPr>
      <w:pStyle w:val="Header"/>
    </w:pPr>
    <w:r>
      <w:rPr>
        <w:noProof/>
      </w:rPr>
      <w:drawing>
        <wp:inline distT="0" distB="0" distL="0" distR="0" wp14:anchorId="0338D7ED" wp14:editId="36C05592">
          <wp:extent cx="3348000" cy="767451"/>
          <wp:effectExtent l="0" t="0" r="5080"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348000" cy="767451"/>
                  </a:xfrm>
                  <a:prstGeom prst="rect">
                    <a:avLst/>
                  </a:prstGeom>
                </pic:spPr>
              </pic:pic>
            </a:graphicData>
          </a:graphic>
        </wp:inline>
      </w:drawing>
    </w:r>
  </w:p>
  <w:p w14:paraId="78D5BB0E" w14:textId="1F3AA792" w:rsidR="005E10BF" w:rsidRDefault="005E10BF" w:rsidP="005E10BF">
    <w:pPr>
      <w:pStyle w:val="Header"/>
      <w:jc w:val="right"/>
    </w:pPr>
    <w:r>
      <w:t>23 June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E4B62"/>
    <w:multiLevelType w:val="hybridMultilevel"/>
    <w:tmpl w:val="AA482DEE"/>
    <w:lvl w:ilvl="0" w:tplc="00204880">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6AE6ABF"/>
    <w:multiLevelType w:val="multilevel"/>
    <w:tmpl w:val="FD2C2012"/>
    <w:lvl w:ilvl="0">
      <w:start w:val="1"/>
      <w:numFmt w:val="decimal"/>
      <w:lvlText w:val="Chapter %1"/>
      <w:lvlJc w:val="left"/>
      <w:pPr>
        <w:tabs>
          <w:tab w:val="num" w:pos="284"/>
        </w:tabs>
        <w:ind w:left="0" w:firstLine="0"/>
      </w:pPr>
      <w:rPr>
        <w:rFonts w:asciiTheme="minorHAnsi" w:hAnsiTheme="minorHAnsi" w:cs="Arial" w:hint="default"/>
        <w:b/>
        <w:bCs/>
        <w:i w:val="0"/>
        <w:iCs w:val="0"/>
        <w:color w:val="000000"/>
        <w:sz w:val="36"/>
        <w:szCs w:val="36"/>
        <w:u w:val="none"/>
      </w:rPr>
    </w:lvl>
    <w:lvl w:ilvl="1">
      <w:start w:val="1"/>
      <w:numFmt w:val="decimal"/>
      <w:pStyle w:val="2RARMP"/>
      <w:lvlText w:val="Section %2"/>
      <w:lvlJc w:val="left"/>
      <w:pPr>
        <w:tabs>
          <w:tab w:val="num" w:pos="2667"/>
        </w:tabs>
        <w:ind w:left="426" w:firstLine="0"/>
      </w:pPr>
      <w:rPr>
        <w:rFonts w:ascii="Calibri" w:hAnsi="Calibri" w:cs="Arial" w:hint="default"/>
        <w:b/>
        <w:bCs/>
        <w:i w:val="0"/>
        <w:iCs/>
        <w:sz w:val="28"/>
        <w:szCs w:val="28"/>
        <w:u w:val="none"/>
      </w:rPr>
    </w:lvl>
    <w:lvl w:ilvl="2">
      <w:start w:val="1"/>
      <w:numFmt w:val="decimal"/>
      <w:lvlText w:val="%2.%3"/>
      <w:lvlJc w:val="left"/>
      <w:pPr>
        <w:tabs>
          <w:tab w:val="num" w:pos="284"/>
        </w:tabs>
        <w:ind w:left="0" w:firstLine="0"/>
      </w:pPr>
      <w:rPr>
        <w:rFonts w:asciiTheme="minorHAnsi" w:hAnsiTheme="minorHAnsi" w:cs="Arial" w:hint="default"/>
        <w:b/>
        <w:bCs/>
        <w:i w:val="0"/>
        <w:iCs w:val="0"/>
        <w:sz w:val="24"/>
        <w:szCs w:val="24"/>
        <w:u w:val="none"/>
      </w:rPr>
    </w:lvl>
    <w:lvl w:ilvl="3">
      <w:start w:val="1"/>
      <w:numFmt w:val="decimal"/>
      <w:lvlText w:val="%2.%3.%4"/>
      <w:lvlJc w:val="left"/>
      <w:pPr>
        <w:tabs>
          <w:tab w:val="num" w:pos="2979"/>
        </w:tabs>
        <w:ind w:left="993"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A30062E"/>
    <w:multiLevelType w:val="multilevel"/>
    <w:tmpl w:val="4F889858"/>
    <w:lvl w:ilvl="0">
      <w:start w:val="1"/>
      <w:numFmt w:val="decimal"/>
      <w:lvlText w:val="Risk Scenario %1."/>
      <w:lvlJc w:val="left"/>
      <w:pPr>
        <w:tabs>
          <w:tab w:val="num" w:pos="2014"/>
        </w:tabs>
        <w:ind w:left="2807" w:hanging="1814"/>
      </w:pPr>
      <w:rPr>
        <w:rFonts w:ascii="Arial Bold" w:hAnsi="Arial Bold" w:hint="default"/>
        <w:b/>
        <w:bCs/>
        <w:i/>
        <w:iCs w:val="0"/>
        <w:color w:val="000000"/>
        <w:sz w:val="22"/>
        <w:szCs w:val="22"/>
        <w:u w:val="none"/>
      </w:rPr>
    </w:lvl>
    <w:lvl w:ilvl="1">
      <w:start w:val="1"/>
      <w:numFmt w:val="decimal"/>
      <w:pStyle w:val="Heading2"/>
      <w:lvlText w:val="Section %2"/>
      <w:lvlJc w:val="left"/>
      <w:pPr>
        <w:tabs>
          <w:tab w:val="num" w:pos="3687"/>
        </w:tabs>
        <w:ind w:left="3403" w:firstLine="0"/>
      </w:pPr>
      <w:rPr>
        <w:rFonts w:ascii="Arial" w:hAnsi="Arial" w:cs="Arial" w:hint="default"/>
        <w:b/>
        <w:bCs/>
        <w:i/>
        <w:iCs/>
        <w:sz w:val="28"/>
        <w:szCs w:val="28"/>
        <w:u w:val="none"/>
      </w:rPr>
    </w:lvl>
    <w:lvl w:ilvl="2">
      <w:start w:val="1"/>
      <w:numFmt w:val="decimal"/>
      <w:pStyle w:val="Heading3"/>
      <w:lvlText w:val="%2.%3"/>
      <w:lvlJc w:val="left"/>
      <w:pPr>
        <w:tabs>
          <w:tab w:val="num" w:pos="2836"/>
        </w:tabs>
        <w:ind w:left="2552" w:firstLine="0"/>
      </w:pPr>
      <w:rPr>
        <w:rFonts w:ascii="Arial" w:hAnsi="Arial" w:cs="Arial" w:hint="default"/>
        <w:b/>
        <w:bCs/>
        <w:i w:val="0"/>
        <w:iCs w:val="0"/>
        <w:sz w:val="24"/>
        <w:szCs w:val="24"/>
        <w:u w:val="none"/>
      </w:rPr>
    </w:lvl>
    <w:lvl w:ilvl="3">
      <w:start w:val="1"/>
      <w:numFmt w:val="none"/>
      <w:pStyle w:val="Heading4"/>
      <w:suff w:val="nothing"/>
      <w:lvlText w:val=""/>
      <w:lvlJc w:val="left"/>
      <w:pPr>
        <w:ind w:left="0" w:firstLine="0"/>
      </w:pPr>
      <w:rPr>
        <w:rFonts w:ascii="Arial" w:hAnsi="Arial" w:cs="Arial" w:hint="default"/>
        <w:b w:val="0"/>
        <w:bCs w:val="0"/>
        <w:i w:val="0"/>
        <w:iCs w:val="0"/>
        <w:sz w:val="24"/>
        <w:szCs w:val="24"/>
        <w:u w:val="singl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30D0491"/>
    <w:multiLevelType w:val="hybridMultilevel"/>
    <w:tmpl w:val="F75E6BBA"/>
    <w:lvl w:ilvl="0" w:tplc="2B1E796C">
      <w:start w:val="1"/>
      <w:numFmt w:val="decimal"/>
      <w:pStyle w:val="RARMP-bulletpoints"/>
      <w:lvlText w:val="%1."/>
      <w:lvlJc w:val="left"/>
      <w:pPr>
        <w:ind w:left="502"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655" w:hanging="360"/>
      </w:pPr>
    </w:lvl>
    <w:lvl w:ilvl="2" w:tplc="0C09001B">
      <w:start w:val="1"/>
      <w:numFmt w:val="lowerRoman"/>
      <w:lvlText w:val="%3."/>
      <w:lvlJc w:val="right"/>
      <w:pPr>
        <w:ind w:left="1375" w:hanging="180"/>
      </w:pPr>
    </w:lvl>
    <w:lvl w:ilvl="3" w:tplc="0C09000F">
      <w:start w:val="1"/>
      <w:numFmt w:val="decimal"/>
      <w:lvlText w:val="%4."/>
      <w:lvlJc w:val="left"/>
      <w:pPr>
        <w:ind w:left="2095" w:hanging="360"/>
      </w:pPr>
    </w:lvl>
    <w:lvl w:ilvl="4" w:tplc="0C090019" w:tentative="1">
      <w:start w:val="1"/>
      <w:numFmt w:val="lowerLetter"/>
      <w:lvlText w:val="%5."/>
      <w:lvlJc w:val="left"/>
      <w:pPr>
        <w:ind w:left="2815" w:hanging="360"/>
      </w:pPr>
    </w:lvl>
    <w:lvl w:ilvl="5" w:tplc="0C09001B" w:tentative="1">
      <w:start w:val="1"/>
      <w:numFmt w:val="lowerRoman"/>
      <w:lvlText w:val="%6."/>
      <w:lvlJc w:val="right"/>
      <w:pPr>
        <w:ind w:left="3535" w:hanging="180"/>
      </w:pPr>
    </w:lvl>
    <w:lvl w:ilvl="6" w:tplc="0C09000F" w:tentative="1">
      <w:start w:val="1"/>
      <w:numFmt w:val="decimal"/>
      <w:lvlText w:val="%7."/>
      <w:lvlJc w:val="left"/>
      <w:pPr>
        <w:ind w:left="4255" w:hanging="360"/>
      </w:pPr>
    </w:lvl>
    <w:lvl w:ilvl="7" w:tplc="0C090019" w:tentative="1">
      <w:start w:val="1"/>
      <w:numFmt w:val="lowerLetter"/>
      <w:lvlText w:val="%8."/>
      <w:lvlJc w:val="left"/>
      <w:pPr>
        <w:ind w:left="4975" w:hanging="360"/>
      </w:pPr>
    </w:lvl>
    <w:lvl w:ilvl="8" w:tplc="0C09001B" w:tentative="1">
      <w:start w:val="1"/>
      <w:numFmt w:val="lowerRoman"/>
      <w:lvlText w:val="%9."/>
      <w:lvlJc w:val="right"/>
      <w:pPr>
        <w:ind w:left="5695" w:hanging="180"/>
      </w:pPr>
    </w:lvl>
  </w:abstractNum>
  <w:abstractNum w:abstractNumId="4" w15:restartNumberingAfterBreak="0">
    <w:nsid w:val="586D1FAA"/>
    <w:multiLevelType w:val="multilevel"/>
    <w:tmpl w:val="FB1647F0"/>
    <w:lvl w:ilvl="0">
      <w:start w:val="1"/>
      <w:numFmt w:val="upperLetter"/>
      <w:pStyle w:val="RARMP"/>
      <w:lvlText w:val="Appendix %1"/>
      <w:lvlJc w:val="left"/>
      <w:pPr>
        <w:tabs>
          <w:tab w:val="num" w:pos="2268"/>
        </w:tabs>
        <w:ind w:left="2268" w:hanging="2268"/>
      </w:pPr>
      <w:rPr>
        <w:rFonts w:ascii="Arial Bold" w:hAnsi="Arial Bold" w:cs="Arial" w:hint="default"/>
        <w:b/>
        <w:bCs/>
        <w:i w:val="0"/>
        <w:iCs w:val="0"/>
        <w:sz w:val="36"/>
        <w:szCs w:val="3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69B877FF"/>
    <w:multiLevelType w:val="multilevel"/>
    <w:tmpl w:val="E01E5A10"/>
    <w:lvl w:ilvl="0">
      <w:start w:val="1"/>
      <w:numFmt w:val="bullet"/>
      <w:pStyle w:val="RARMP-bulletpointsnospace"/>
      <w:lvlText w:val=""/>
      <w:lvlJc w:val="left"/>
      <w:pPr>
        <w:tabs>
          <w:tab w:val="num" w:pos="644"/>
        </w:tabs>
        <w:ind w:left="644" w:hanging="360"/>
      </w:pPr>
      <w:rPr>
        <w:rFonts w:ascii="Symbol" w:hAnsi="Symbol" w:hint="default"/>
        <w:sz w:val="24"/>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6" w15:restartNumberingAfterBreak="0">
    <w:nsid w:val="73F1427F"/>
    <w:multiLevelType w:val="hybridMultilevel"/>
    <w:tmpl w:val="845C64C8"/>
    <w:lvl w:ilvl="0" w:tplc="C8A0149A">
      <w:start w:val="1"/>
      <w:numFmt w:val="decimal"/>
      <w:pStyle w:val="RARMPPara"/>
      <w:lvlText w:val="%1."/>
      <w:lvlJc w:val="left"/>
      <w:pPr>
        <w:ind w:left="501" w:hanging="360"/>
      </w:pPr>
      <w:rPr>
        <w:b w:val="0"/>
        <w:color w:val="auto"/>
      </w:rPr>
    </w:lvl>
    <w:lvl w:ilvl="1" w:tplc="0C090001">
      <w:start w:val="1"/>
      <w:numFmt w:val="bullet"/>
      <w:lvlText w:val=""/>
      <w:lvlJc w:val="left"/>
      <w:pPr>
        <w:ind w:left="1221" w:hanging="360"/>
      </w:pPr>
      <w:rPr>
        <w:rFonts w:ascii="Symbol" w:hAnsi="Symbol" w:hint="default"/>
      </w:rPr>
    </w:lvl>
    <w:lvl w:ilvl="2" w:tplc="0C09001B">
      <w:start w:val="1"/>
      <w:numFmt w:val="lowerRoman"/>
      <w:lvlText w:val="%3."/>
      <w:lvlJc w:val="right"/>
      <w:pPr>
        <w:ind w:left="1941" w:hanging="180"/>
      </w:pPr>
    </w:lvl>
    <w:lvl w:ilvl="3" w:tplc="0C09000F">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7" w15:restartNumberingAfterBreak="0">
    <w:nsid w:val="781810AD"/>
    <w:multiLevelType w:val="hybridMultilevel"/>
    <w:tmpl w:val="3162D200"/>
    <w:lvl w:ilvl="0" w:tplc="BFD25CFA">
      <w:start w:val="1"/>
      <w:numFmt w:val="decimal"/>
      <w:pStyle w:val="1Para"/>
      <w:lvlText w:val="%1."/>
      <w:lvlJc w:val="left"/>
      <w:pPr>
        <w:tabs>
          <w:tab w:val="num" w:pos="851"/>
        </w:tabs>
        <w:ind w:left="284" w:firstLine="0"/>
      </w:pPr>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658"/>
        </w:tabs>
        <w:ind w:left="1658"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018"/>
        </w:tabs>
        <w:ind w:left="2018" w:hanging="180"/>
      </w:pPr>
    </w:lvl>
    <w:lvl w:ilvl="3" w:tplc="0C090001">
      <w:start w:val="1"/>
      <w:numFmt w:val="decimal"/>
      <w:lvlText w:val="%4."/>
      <w:lvlJc w:val="left"/>
      <w:pPr>
        <w:tabs>
          <w:tab w:val="num" w:pos="2738"/>
        </w:tabs>
        <w:ind w:left="2738" w:hanging="360"/>
      </w:pPr>
    </w:lvl>
    <w:lvl w:ilvl="4" w:tplc="0C090003">
      <w:start w:val="1"/>
      <w:numFmt w:val="lowerLetter"/>
      <w:lvlText w:val="%5."/>
      <w:lvlJc w:val="left"/>
      <w:pPr>
        <w:tabs>
          <w:tab w:val="num" w:pos="3458"/>
        </w:tabs>
        <w:ind w:left="3458" w:hanging="360"/>
      </w:pPr>
    </w:lvl>
    <w:lvl w:ilvl="5" w:tplc="0C090005">
      <w:start w:val="1"/>
      <w:numFmt w:val="lowerRoman"/>
      <w:lvlText w:val="%6."/>
      <w:lvlJc w:val="right"/>
      <w:pPr>
        <w:tabs>
          <w:tab w:val="num" w:pos="4178"/>
        </w:tabs>
        <w:ind w:left="4178" w:hanging="180"/>
      </w:pPr>
    </w:lvl>
    <w:lvl w:ilvl="6" w:tplc="0C090001">
      <w:start w:val="1"/>
      <w:numFmt w:val="decimal"/>
      <w:lvlText w:val="%7."/>
      <w:lvlJc w:val="left"/>
      <w:pPr>
        <w:tabs>
          <w:tab w:val="num" w:pos="4898"/>
        </w:tabs>
        <w:ind w:left="4898" w:hanging="360"/>
      </w:pPr>
    </w:lvl>
    <w:lvl w:ilvl="7" w:tplc="0C090003">
      <w:start w:val="1"/>
      <w:numFmt w:val="lowerLetter"/>
      <w:lvlText w:val="%8."/>
      <w:lvlJc w:val="left"/>
      <w:pPr>
        <w:tabs>
          <w:tab w:val="num" w:pos="5618"/>
        </w:tabs>
        <w:ind w:left="5618" w:hanging="360"/>
      </w:pPr>
    </w:lvl>
    <w:lvl w:ilvl="8" w:tplc="0C090005">
      <w:start w:val="1"/>
      <w:numFmt w:val="lowerRoman"/>
      <w:lvlText w:val="%9."/>
      <w:lvlJc w:val="right"/>
      <w:pPr>
        <w:tabs>
          <w:tab w:val="num" w:pos="6338"/>
        </w:tabs>
        <w:ind w:left="6338" w:hanging="180"/>
      </w:pPr>
    </w:lvl>
  </w:abstractNum>
  <w:abstractNum w:abstractNumId="8" w15:restartNumberingAfterBreak="0">
    <w:nsid w:val="7BF547FF"/>
    <w:multiLevelType w:val="hybridMultilevel"/>
    <w:tmpl w:val="57A27B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 w:numId="7">
    <w:abstractNumId w:val="6"/>
  </w:num>
  <w:num w:numId="8">
    <w:abstractNumId w:val="1"/>
  </w:num>
  <w:num w:numId="9">
    <w:abstractNumId w:val="7"/>
  </w:num>
  <w:num w:numId="1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0BF"/>
    <w:rsid w:val="000D00DE"/>
    <w:rsid w:val="00153898"/>
    <w:rsid w:val="00181E97"/>
    <w:rsid w:val="002156CA"/>
    <w:rsid w:val="00401C93"/>
    <w:rsid w:val="005E10BF"/>
    <w:rsid w:val="00614C27"/>
    <w:rsid w:val="00792E20"/>
    <w:rsid w:val="007F22D6"/>
    <w:rsid w:val="00AA4B03"/>
    <w:rsid w:val="00CA7009"/>
    <w:rsid w:val="00E10D68"/>
    <w:rsid w:val="00E610B7"/>
    <w:rsid w:val="00EE18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444853"/>
  <w15:chartTrackingRefBased/>
  <w15:docId w15:val="{37C4B4F4-C2F5-4B7D-A139-271542C3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0DE"/>
    <w:pPr>
      <w:spacing w:before="120" w:after="120" w:line="240" w:lineRule="auto"/>
    </w:pPr>
    <w:rPr>
      <w:rFonts w:ascii="Calibri" w:hAnsi="Calibri" w:cs="Times New Roman"/>
      <w:szCs w:val="24"/>
      <w:lang w:eastAsia="en-AU"/>
    </w:rPr>
  </w:style>
  <w:style w:type="paragraph" w:styleId="Heading1">
    <w:name w:val="heading 1"/>
    <w:basedOn w:val="Normal"/>
    <w:next w:val="Normal"/>
    <w:link w:val="Heading1Char"/>
    <w:autoRedefine/>
    <w:qFormat/>
    <w:rsid w:val="000D00DE"/>
    <w:pPr>
      <w:keepNext/>
      <w:tabs>
        <w:tab w:val="left" w:pos="2268"/>
      </w:tabs>
      <w:spacing w:before="240" w:after="60"/>
      <w:ind w:left="1814" w:hanging="1814"/>
      <w:jc w:val="center"/>
      <w:outlineLvl w:val="0"/>
    </w:pPr>
    <w:rPr>
      <w:rFonts w:cs="Arial"/>
      <w:b/>
      <w:snapToGrid w:val="0"/>
      <w:sz w:val="36"/>
      <w:szCs w:val="36"/>
      <w:lang w:eastAsia="en-US"/>
    </w:rPr>
  </w:style>
  <w:style w:type="paragraph" w:styleId="Heading2">
    <w:name w:val="heading 2"/>
    <w:basedOn w:val="Normal"/>
    <w:next w:val="Normal"/>
    <w:link w:val="Heading2Char"/>
    <w:qFormat/>
    <w:rsid w:val="000D00DE"/>
    <w:pPr>
      <w:keepNext/>
      <w:numPr>
        <w:ilvl w:val="1"/>
        <w:numId w:val="1"/>
      </w:numPr>
      <w:tabs>
        <w:tab w:val="left" w:pos="1418"/>
      </w:tabs>
      <w:spacing w:before="240" w:after="60"/>
      <w:outlineLvl w:val="1"/>
    </w:pPr>
    <w:rPr>
      <w:b/>
      <w:i/>
      <w:sz w:val="28"/>
      <w:szCs w:val="28"/>
    </w:rPr>
  </w:style>
  <w:style w:type="paragraph" w:styleId="Heading3">
    <w:name w:val="heading 3"/>
    <w:basedOn w:val="Normal"/>
    <w:next w:val="Normal"/>
    <w:link w:val="Heading3Char"/>
    <w:qFormat/>
    <w:rsid w:val="000D00DE"/>
    <w:pPr>
      <w:keepNext/>
      <w:numPr>
        <w:ilvl w:val="2"/>
        <w:numId w:val="1"/>
      </w:numPr>
      <w:tabs>
        <w:tab w:val="left" w:pos="851"/>
      </w:tabs>
      <w:outlineLvl w:val="2"/>
    </w:pPr>
    <w:rPr>
      <w:rFonts w:ascii="Arial (W1)" w:hAnsi="Arial (W1)"/>
      <w:b/>
      <w:szCs w:val="20"/>
    </w:rPr>
  </w:style>
  <w:style w:type="paragraph" w:styleId="Heading4">
    <w:name w:val="heading 4"/>
    <w:basedOn w:val="Normal"/>
    <w:next w:val="Normal"/>
    <w:link w:val="Heading4Char"/>
    <w:qFormat/>
    <w:rsid w:val="000D00DE"/>
    <w:pPr>
      <w:keepNext/>
      <w:numPr>
        <w:ilvl w:val="3"/>
        <w:numId w:val="1"/>
      </w:numPr>
      <w:tabs>
        <w:tab w:val="left" w:pos="851"/>
      </w:tabs>
      <w:outlineLvl w:val="3"/>
    </w:pPr>
    <w:rPr>
      <w:rFonts w:ascii="Arial (W1)" w:hAnsi="Arial (W1)"/>
      <w:b/>
      <w:i/>
      <w:szCs w:val="22"/>
    </w:rPr>
  </w:style>
  <w:style w:type="paragraph" w:styleId="Heading5">
    <w:name w:val="heading 5"/>
    <w:basedOn w:val="Normal"/>
    <w:next w:val="Normal"/>
    <w:link w:val="Heading5Char"/>
    <w:qFormat/>
    <w:rsid w:val="000D00DE"/>
    <w:pPr>
      <w:keepNext/>
      <w:numPr>
        <w:ilvl w:val="4"/>
        <w:numId w:val="1"/>
      </w:numPr>
      <w:spacing w:before="240" w:after="60"/>
      <w:outlineLvl w:val="4"/>
    </w:pPr>
    <w:rPr>
      <w:bCs/>
      <w:iCs/>
      <w:u w:val="single"/>
    </w:rPr>
  </w:style>
  <w:style w:type="paragraph" w:styleId="Heading6">
    <w:name w:val="heading 6"/>
    <w:basedOn w:val="Normal"/>
    <w:next w:val="Normal"/>
    <w:link w:val="Heading6Char"/>
    <w:unhideWhenUsed/>
    <w:qFormat/>
    <w:rsid w:val="000D00DE"/>
    <w:pPr>
      <w:numPr>
        <w:ilvl w:val="5"/>
        <w:numId w:val="1"/>
      </w:numPr>
      <w:spacing w:before="240" w:after="60"/>
      <w:outlineLvl w:val="5"/>
    </w:pPr>
    <w:rPr>
      <w:b/>
      <w:bCs/>
      <w:szCs w:val="22"/>
    </w:rPr>
  </w:style>
  <w:style w:type="paragraph" w:styleId="Heading7">
    <w:name w:val="heading 7"/>
    <w:basedOn w:val="Normal"/>
    <w:next w:val="Normal"/>
    <w:link w:val="Heading7Char"/>
    <w:unhideWhenUsed/>
    <w:qFormat/>
    <w:rsid w:val="000D00DE"/>
    <w:pPr>
      <w:numPr>
        <w:ilvl w:val="6"/>
        <w:numId w:val="1"/>
      </w:numPr>
      <w:spacing w:before="240" w:after="60"/>
      <w:outlineLvl w:val="6"/>
    </w:pPr>
  </w:style>
  <w:style w:type="paragraph" w:styleId="Heading8">
    <w:name w:val="heading 8"/>
    <w:basedOn w:val="Normal"/>
    <w:next w:val="Normal"/>
    <w:link w:val="Heading8Char"/>
    <w:qFormat/>
    <w:rsid w:val="000D00DE"/>
    <w:pPr>
      <w:numPr>
        <w:ilvl w:val="7"/>
        <w:numId w:val="1"/>
      </w:numPr>
      <w:spacing w:before="240" w:after="60"/>
      <w:outlineLvl w:val="7"/>
    </w:pPr>
    <w:rPr>
      <w:i/>
      <w:iCs/>
    </w:rPr>
  </w:style>
  <w:style w:type="paragraph" w:styleId="Heading9">
    <w:name w:val="heading 9"/>
    <w:basedOn w:val="Normal"/>
    <w:next w:val="Normal"/>
    <w:link w:val="Heading9Char"/>
    <w:unhideWhenUsed/>
    <w:qFormat/>
    <w:rsid w:val="000D00DE"/>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RM-Chapter">
    <w:name w:val="RARM - Chapter"/>
    <w:basedOn w:val="Normal"/>
    <w:qFormat/>
    <w:rsid w:val="00E610B7"/>
    <w:pPr>
      <w:tabs>
        <w:tab w:val="left" w:pos="1985"/>
      </w:tabs>
      <w:outlineLvl w:val="0"/>
    </w:pPr>
    <w:rPr>
      <w:rFonts w:cs="Arial"/>
      <w:b/>
      <w:bCs/>
      <w:sz w:val="36"/>
      <w:szCs w:val="36"/>
    </w:rPr>
  </w:style>
  <w:style w:type="paragraph" w:customStyle="1" w:styleId="RARMP">
    <w:name w:val="RARMP"/>
    <w:basedOn w:val="Heading1"/>
    <w:next w:val="Normal"/>
    <w:autoRedefine/>
    <w:rsid w:val="00E610B7"/>
    <w:pPr>
      <w:numPr>
        <w:numId w:val="2"/>
      </w:numPr>
      <w:spacing w:after="120"/>
    </w:pPr>
    <w:rPr>
      <w:rFonts w:ascii="Arial Bold" w:eastAsiaTheme="minorEastAsia" w:hAnsi="Arial Bold" w:cs="Arial (W1)"/>
      <w:snapToGrid/>
      <w:kern w:val="32"/>
      <w:lang w:eastAsia="en-AU"/>
    </w:rPr>
  </w:style>
  <w:style w:type="paragraph" w:customStyle="1" w:styleId="RARMP-bulletpoints">
    <w:name w:val="RARMP - bullet points"/>
    <w:basedOn w:val="ListParagraph"/>
    <w:link w:val="RARMP-bulletpointsChar"/>
    <w:qFormat/>
    <w:rsid w:val="00E610B7"/>
    <w:pPr>
      <w:numPr>
        <w:numId w:val="3"/>
      </w:numPr>
      <w:tabs>
        <w:tab w:val="num" w:pos="567"/>
      </w:tabs>
      <w:contextualSpacing w:val="0"/>
    </w:pPr>
  </w:style>
  <w:style w:type="character" w:customStyle="1" w:styleId="RARMP-bulletpointsChar">
    <w:name w:val="RARMP - bullet points Char"/>
    <w:basedOn w:val="DefaultParagraphFont"/>
    <w:link w:val="RARMP-bulletpoints"/>
    <w:rsid w:val="00E610B7"/>
    <w:rPr>
      <w:rFonts w:ascii="Calibri" w:eastAsia="Times New Roman" w:hAnsi="Calibri" w:cs="Times New Roman"/>
      <w:szCs w:val="24"/>
      <w:lang w:eastAsia="en-AU"/>
    </w:rPr>
  </w:style>
  <w:style w:type="paragraph" w:styleId="ListParagraph">
    <w:name w:val="List Paragraph"/>
    <w:basedOn w:val="Normal"/>
    <w:uiPriority w:val="34"/>
    <w:qFormat/>
    <w:rsid w:val="00E610B7"/>
    <w:pPr>
      <w:ind w:left="720"/>
      <w:contextualSpacing/>
    </w:pPr>
  </w:style>
  <w:style w:type="paragraph" w:customStyle="1" w:styleId="RARMP-bulletpointsnospace">
    <w:name w:val="RARMP - bullet points no space"/>
    <w:autoRedefine/>
    <w:qFormat/>
    <w:rsid w:val="00E610B7"/>
    <w:pPr>
      <w:numPr>
        <w:numId w:val="4"/>
      </w:numPr>
      <w:tabs>
        <w:tab w:val="num" w:pos="567"/>
      </w:tabs>
      <w:spacing w:before="120" w:after="120" w:line="280" w:lineRule="atLeast"/>
      <w:contextualSpacing/>
    </w:pPr>
    <w:rPr>
      <w:rFonts w:eastAsia="Calibri" w:cs="Times New Roman"/>
      <w:szCs w:val="20"/>
      <w:lang w:val="en-US"/>
    </w:rPr>
  </w:style>
  <w:style w:type="paragraph" w:customStyle="1" w:styleId="RARMP-FigureCaption">
    <w:name w:val="RARMP - Figure Caption"/>
    <w:next w:val="Normal"/>
    <w:qFormat/>
    <w:rsid w:val="00E610B7"/>
    <w:pPr>
      <w:spacing w:after="240" w:line="240" w:lineRule="auto"/>
    </w:pPr>
    <w:rPr>
      <w:rFonts w:ascii="Calibri" w:hAnsi="Calibri" w:cs="Times New Roman"/>
      <w:bCs/>
      <w:i/>
      <w:color w:val="44546A" w:themeColor="text2"/>
      <w:szCs w:val="18"/>
      <w:lang w:eastAsia="en-AU"/>
    </w:rPr>
  </w:style>
  <w:style w:type="paragraph" w:customStyle="1" w:styleId="RARMP-Section">
    <w:name w:val="RARMP - Section"/>
    <w:basedOn w:val="Normal"/>
    <w:link w:val="RARMP-SectionChar"/>
    <w:autoRedefine/>
    <w:qFormat/>
    <w:rsid w:val="00E610B7"/>
    <w:pPr>
      <w:keepNext/>
      <w:spacing w:before="240"/>
      <w:outlineLvl w:val="1"/>
    </w:pPr>
    <w:rPr>
      <w:rFonts w:cs="Arial"/>
      <w:b/>
      <w:bCs/>
      <w:iCs/>
      <w:sz w:val="28"/>
      <w:szCs w:val="28"/>
    </w:rPr>
  </w:style>
  <w:style w:type="character" w:customStyle="1" w:styleId="RARMP-SectionChar">
    <w:name w:val="RARMP - Section Char"/>
    <w:basedOn w:val="DefaultParagraphFont"/>
    <w:link w:val="RARMP-Section"/>
    <w:rsid w:val="00E610B7"/>
    <w:rPr>
      <w:rFonts w:ascii="Calibri" w:eastAsia="Times New Roman" w:hAnsi="Calibri" w:cs="Arial"/>
      <w:b/>
      <w:bCs/>
      <w:iCs/>
      <w:sz w:val="28"/>
      <w:szCs w:val="28"/>
      <w:lang w:eastAsia="en-AU"/>
    </w:rPr>
  </w:style>
  <w:style w:type="paragraph" w:customStyle="1" w:styleId="RARMP-Sectionlevel2">
    <w:name w:val="RARMP - Section level 2"/>
    <w:basedOn w:val="Normal"/>
    <w:link w:val="RARMP-Sectionlevel2Char"/>
    <w:uiPriority w:val="1"/>
    <w:qFormat/>
    <w:rsid w:val="00E610B7"/>
    <w:pPr>
      <w:keepNext/>
      <w:keepLines/>
      <w:outlineLvl w:val="3"/>
    </w:pPr>
    <w:rPr>
      <w:rFonts w:asciiTheme="minorHAnsi" w:hAnsiTheme="minorHAnsi" w:cs="Arial"/>
      <w:b/>
      <w:bCs/>
      <w:i/>
      <w:iCs/>
      <w:szCs w:val="22"/>
    </w:rPr>
  </w:style>
  <w:style w:type="character" w:customStyle="1" w:styleId="RARMP-Sectionlevel2Char">
    <w:name w:val="RARMP - Section level 2 Char"/>
    <w:link w:val="RARMP-Sectionlevel2"/>
    <w:uiPriority w:val="1"/>
    <w:rsid w:val="00E610B7"/>
    <w:rPr>
      <w:rFonts w:eastAsia="Times New Roman" w:cs="Arial"/>
      <w:b/>
      <w:bCs/>
      <w:i/>
      <w:iCs/>
      <w:lang w:eastAsia="en-AU"/>
    </w:rPr>
  </w:style>
  <w:style w:type="paragraph" w:customStyle="1" w:styleId="RARMP-Section2a">
    <w:name w:val="RARMP - Section 2a"/>
    <w:basedOn w:val="RARMP-Sectionlevel2"/>
    <w:link w:val="RARMP-Section2aChar"/>
    <w:qFormat/>
    <w:rsid w:val="00E610B7"/>
    <w:rPr>
      <w:i w:val="0"/>
    </w:rPr>
  </w:style>
  <w:style w:type="character" w:customStyle="1" w:styleId="RARMP-Section2aChar">
    <w:name w:val="RARMP - Section 2a Char"/>
    <w:basedOn w:val="DefaultParagraphFont"/>
    <w:link w:val="RARMP-Section2a"/>
    <w:rsid w:val="00E610B7"/>
    <w:rPr>
      <w:rFonts w:eastAsia="Times New Roman" w:cs="Arial"/>
      <w:b/>
      <w:bCs/>
      <w:iCs/>
      <w:lang w:eastAsia="en-AU"/>
    </w:rPr>
  </w:style>
  <w:style w:type="paragraph" w:customStyle="1" w:styleId="RARMP-Sectionlevel1">
    <w:name w:val="RARMP - Section level 1"/>
    <w:basedOn w:val="Normal"/>
    <w:uiPriority w:val="1"/>
    <w:qFormat/>
    <w:rsid w:val="00E610B7"/>
    <w:pPr>
      <w:keepNext/>
      <w:outlineLvl w:val="2"/>
    </w:pPr>
    <w:rPr>
      <w:rFonts w:cs="Arial"/>
      <w:b/>
      <w:bCs/>
      <w:sz w:val="24"/>
    </w:rPr>
  </w:style>
  <w:style w:type="paragraph" w:customStyle="1" w:styleId="RARMP-Sectionlevel3">
    <w:name w:val="RARMP - Section level 3"/>
    <w:basedOn w:val="RARMP-Section2a"/>
    <w:qFormat/>
    <w:rsid w:val="00E610B7"/>
    <w:rPr>
      <w:b w:val="0"/>
      <w:i/>
      <w:u w:val="single"/>
    </w:rPr>
  </w:style>
  <w:style w:type="paragraph" w:customStyle="1" w:styleId="RARMPListletter">
    <w:name w:val="RARMP List letter"/>
    <w:basedOn w:val="Normal"/>
    <w:qFormat/>
    <w:rsid w:val="00E610B7"/>
    <w:pPr>
      <w:numPr>
        <w:numId w:val="6"/>
      </w:numPr>
    </w:pPr>
  </w:style>
  <w:style w:type="paragraph" w:customStyle="1" w:styleId="RARMPPara">
    <w:name w:val="RARMP Para"/>
    <w:basedOn w:val="Normal"/>
    <w:link w:val="RARMPParaChar"/>
    <w:qFormat/>
    <w:rsid w:val="00E610B7"/>
    <w:pPr>
      <w:numPr>
        <w:numId w:val="7"/>
      </w:numPr>
      <w:tabs>
        <w:tab w:val="left" w:pos="567"/>
      </w:tabs>
      <w:spacing w:before="240" w:after="240"/>
    </w:pPr>
    <w:rPr>
      <w:rFonts w:asciiTheme="minorHAnsi" w:hAnsiTheme="minorHAnsi" w:cstheme="minorHAnsi"/>
      <w:szCs w:val="22"/>
      <w:u w:color="000000"/>
      <w:shd w:val="clear" w:color="auto" w:fill="FEFEFE"/>
      <w:lang w:eastAsia="en-US"/>
    </w:rPr>
  </w:style>
  <w:style w:type="character" w:customStyle="1" w:styleId="RARMPParaChar">
    <w:name w:val="RARMP Para Char"/>
    <w:basedOn w:val="DefaultParagraphFont"/>
    <w:link w:val="RARMPPara"/>
    <w:rsid w:val="00E610B7"/>
    <w:rPr>
      <w:rFonts w:eastAsia="Times New Roman" w:cstheme="minorHAnsi"/>
      <w:u w:color="000000"/>
    </w:rPr>
  </w:style>
  <w:style w:type="paragraph" w:customStyle="1" w:styleId="RARMPParagraph">
    <w:name w:val="RARMP Paragraph"/>
    <w:basedOn w:val="Normal"/>
    <w:link w:val="RARMPParagraphChar"/>
    <w:uiPriority w:val="7"/>
    <w:qFormat/>
    <w:rsid w:val="00E610B7"/>
    <w:pPr>
      <w:tabs>
        <w:tab w:val="num" w:pos="360"/>
        <w:tab w:val="left" w:pos="567"/>
      </w:tabs>
    </w:pPr>
    <w:rPr>
      <w:rFonts w:eastAsia="Calibri"/>
    </w:rPr>
  </w:style>
  <w:style w:type="character" w:customStyle="1" w:styleId="RARMPParagraphChar">
    <w:name w:val="RARMP Paragraph Char"/>
    <w:basedOn w:val="DefaultParagraphFont"/>
    <w:link w:val="RARMPParagraph"/>
    <w:uiPriority w:val="7"/>
    <w:rsid w:val="00E610B7"/>
    <w:rPr>
      <w:rFonts w:ascii="Calibri" w:eastAsia="Calibri" w:hAnsi="Calibri" w:cs="Times New Roman"/>
      <w:szCs w:val="24"/>
      <w:lang w:eastAsia="en-AU"/>
    </w:rPr>
  </w:style>
  <w:style w:type="character" w:customStyle="1" w:styleId="Heading1Char">
    <w:name w:val="Heading 1 Char"/>
    <w:basedOn w:val="DefaultParagraphFont"/>
    <w:link w:val="Heading1"/>
    <w:rsid w:val="000D00DE"/>
    <w:rPr>
      <w:rFonts w:ascii="Calibri" w:eastAsia="Times New Roman" w:hAnsi="Calibri" w:cs="Arial"/>
      <w:b/>
      <w:snapToGrid w:val="0"/>
      <w:sz w:val="36"/>
      <w:szCs w:val="36"/>
    </w:rPr>
  </w:style>
  <w:style w:type="character" w:customStyle="1" w:styleId="Heading2Char">
    <w:name w:val="Heading 2 Char"/>
    <w:link w:val="Heading2"/>
    <w:rsid w:val="000D00DE"/>
    <w:rPr>
      <w:rFonts w:ascii="Calibri" w:eastAsia="Times New Roman" w:hAnsi="Calibri" w:cs="Times New Roman"/>
      <w:b/>
      <w:i/>
      <w:sz w:val="28"/>
      <w:szCs w:val="28"/>
      <w:lang w:eastAsia="en-AU"/>
    </w:rPr>
  </w:style>
  <w:style w:type="character" w:customStyle="1" w:styleId="Heading3Char">
    <w:name w:val="Heading 3 Char"/>
    <w:basedOn w:val="DefaultParagraphFont"/>
    <w:link w:val="Heading3"/>
    <w:rsid w:val="000D00DE"/>
    <w:rPr>
      <w:rFonts w:ascii="Arial (W1)" w:eastAsia="Times New Roman" w:hAnsi="Arial (W1)" w:cs="Times New Roman"/>
      <w:b/>
      <w:szCs w:val="20"/>
      <w:lang w:eastAsia="en-AU"/>
    </w:rPr>
  </w:style>
  <w:style w:type="table" w:customStyle="1" w:styleId="RARMPtable">
    <w:name w:val="RARMP table"/>
    <w:basedOn w:val="TableNormal"/>
    <w:rsid w:val="00E610B7"/>
    <w:pPr>
      <w:spacing w:after="0" w:line="240" w:lineRule="auto"/>
    </w:pPr>
    <w:rPr>
      <w:rFonts w:ascii="Arial Narrow" w:eastAsiaTheme="minorEastAsia" w:hAnsi="Arial Narrow" w:cs="Times New Roman"/>
      <w:sz w:val="19"/>
      <w:szCs w:val="20"/>
      <w:lang w:eastAsia="en-AU"/>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Adobe Devanagari" w:hAnsi="Adobe Devanagari"/>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character" w:customStyle="1" w:styleId="Heading5Char">
    <w:name w:val="Heading 5 Char"/>
    <w:link w:val="Heading5"/>
    <w:rsid w:val="000D00DE"/>
    <w:rPr>
      <w:rFonts w:ascii="Calibri" w:eastAsia="Times New Roman" w:hAnsi="Calibri" w:cs="Times New Roman"/>
      <w:bCs/>
      <w:iCs/>
      <w:szCs w:val="24"/>
      <w:u w:val="single"/>
      <w:lang w:eastAsia="en-AU"/>
    </w:rPr>
  </w:style>
  <w:style w:type="character" w:customStyle="1" w:styleId="Heading6Char">
    <w:name w:val="Heading 6 Char"/>
    <w:link w:val="Heading6"/>
    <w:rsid w:val="000D00DE"/>
    <w:rPr>
      <w:rFonts w:ascii="Calibri" w:eastAsia="Times New Roman" w:hAnsi="Calibri" w:cs="Times New Roman"/>
      <w:b/>
      <w:bCs/>
      <w:lang w:eastAsia="en-AU"/>
    </w:rPr>
  </w:style>
  <w:style w:type="character" w:customStyle="1" w:styleId="Heading7Char">
    <w:name w:val="Heading 7 Char"/>
    <w:link w:val="Heading7"/>
    <w:rsid w:val="000D00DE"/>
    <w:rPr>
      <w:rFonts w:ascii="Calibri" w:eastAsia="Times New Roman" w:hAnsi="Calibri" w:cs="Times New Roman"/>
      <w:szCs w:val="24"/>
      <w:lang w:eastAsia="en-AU"/>
    </w:rPr>
  </w:style>
  <w:style w:type="character" w:customStyle="1" w:styleId="Heading8Char">
    <w:name w:val="Heading 8 Char"/>
    <w:basedOn w:val="DefaultParagraphFont"/>
    <w:link w:val="Heading8"/>
    <w:rsid w:val="000D00DE"/>
    <w:rPr>
      <w:rFonts w:ascii="Calibri" w:eastAsia="Times New Roman" w:hAnsi="Calibri" w:cs="Times New Roman"/>
      <w:i/>
      <w:iCs/>
      <w:szCs w:val="24"/>
      <w:lang w:eastAsia="en-AU"/>
    </w:rPr>
  </w:style>
  <w:style w:type="character" w:customStyle="1" w:styleId="Heading9Char">
    <w:name w:val="Heading 9 Char"/>
    <w:link w:val="Heading9"/>
    <w:rsid w:val="000D00DE"/>
    <w:rPr>
      <w:rFonts w:ascii="Arial" w:eastAsia="Times New Roman" w:hAnsi="Arial" w:cs="Arial"/>
      <w:lang w:eastAsia="en-AU"/>
    </w:rPr>
  </w:style>
  <w:style w:type="character" w:customStyle="1" w:styleId="Heading4Char">
    <w:name w:val="Heading 4 Char"/>
    <w:link w:val="Heading4"/>
    <w:rsid w:val="000D00DE"/>
    <w:rPr>
      <w:rFonts w:ascii="Arial (W1)" w:eastAsia="Times New Roman" w:hAnsi="Arial (W1)" w:cs="Times New Roman"/>
      <w:b/>
      <w:i/>
      <w:lang w:eastAsia="en-AU"/>
    </w:rPr>
  </w:style>
  <w:style w:type="paragraph" w:customStyle="1" w:styleId="2RARMP">
    <w:name w:val="2 RARMP"/>
    <w:basedOn w:val="Normal"/>
    <w:link w:val="2RARMPChar"/>
    <w:autoRedefine/>
    <w:qFormat/>
    <w:rsid w:val="002156CA"/>
    <w:pPr>
      <w:keepNext/>
      <w:numPr>
        <w:ilvl w:val="1"/>
        <w:numId w:val="8"/>
      </w:numPr>
      <w:spacing w:before="240"/>
      <w:outlineLvl w:val="1"/>
    </w:pPr>
    <w:rPr>
      <w:rFonts w:cs="Arial"/>
      <w:b/>
      <w:bCs/>
      <w:iCs/>
      <w:sz w:val="28"/>
      <w:szCs w:val="28"/>
    </w:rPr>
  </w:style>
  <w:style w:type="character" w:customStyle="1" w:styleId="2RARMPChar">
    <w:name w:val="2 RARMP Char"/>
    <w:basedOn w:val="DefaultParagraphFont"/>
    <w:link w:val="2RARMP"/>
    <w:rsid w:val="002156CA"/>
    <w:rPr>
      <w:rFonts w:ascii="Calibri" w:hAnsi="Calibri" w:cs="Arial"/>
      <w:b/>
      <w:bCs/>
      <w:iCs/>
      <w:sz w:val="28"/>
      <w:szCs w:val="28"/>
      <w:lang w:eastAsia="en-AU"/>
    </w:rPr>
  </w:style>
  <w:style w:type="paragraph" w:customStyle="1" w:styleId="1Para">
    <w:name w:val="1 Para"/>
    <w:basedOn w:val="Normal"/>
    <w:rsid w:val="005E10BF"/>
    <w:pPr>
      <w:numPr>
        <w:numId w:val="9"/>
      </w:numPr>
      <w:tabs>
        <w:tab w:val="clear" w:pos="851"/>
        <w:tab w:val="left" w:pos="540"/>
        <w:tab w:val="num" w:pos="2014"/>
      </w:tabs>
      <w:ind w:left="2807" w:hanging="1814"/>
    </w:pPr>
  </w:style>
  <w:style w:type="paragraph" w:styleId="FootnoteText">
    <w:name w:val="footnote text"/>
    <w:basedOn w:val="Normal"/>
    <w:link w:val="FootnoteTextChar"/>
    <w:uiPriority w:val="99"/>
    <w:rsid w:val="005E10BF"/>
    <w:pPr>
      <w:spacing w:before="0" w:after="0"/>
    </w:pPr>
    <w:rPr>
      <w:sz w:val="20"/>
      <w:szCs w:val="20"/>
    </w:rPr>
  </w:style>
  <w:style w:type="character" w:customStyle="1" w:styleId="FootnoteTextChar">
    <w:name w:val="Footnote Text Char"/>
    <w:basedOn w:val="DefaultParagraphFont"/>
    <w:link w:val="FootnoteText"/>
    <w:uiPriority w:val="99"/>
    <w:rsid w:val="005E10BF"/>
    <w:rPr>
      <w:rFonts w:ascii="Calibri" w:hAnsi="Calibri" w:cs="Times New Roman"/>
      <w:sz w:val="20"/>
      <w:szCs w:val="20"/>
      <w:lang w:eastAsia="en-AU"/>
    </w:rPr>
  </w:style>
  <w:style w:type="character" w:styleId="FootnoteReference">
    <w:name w:val="footnote reference"/>
    <w:rsid w:val="005E10BF"/>
    <w:rPr>
      <w:vertAlign w:val="superscript"/>
    </w:rPr>
  </w:style>
  <w:style w:type="paragraph" w:styleId="EndnoteText">
    <w:name w:val="endnote text"/>
    <w:basedOn w:val="Normal"/>
    <w:link w:val="EndnoteTextChar"/>
    <w:semiHidden/>
    <w:unhideWhenUsed/>
    <w:rsid w:val="005E10BF"/>
    <w:pPr>
      <w:spacing w:before="0" w:after="0"/>
    </w:pPr>
    <w:rPr>
      <w:sz w:val="20"/>
      <w:szCs w:val="20"/>
      <w:lang w:eastAsia="en-US"/>
    </w:rPr>
  </w:style>
  <w:style w:type="character" w:customStyle="1" w:styleId="EndnoteTextChar">
    <w:name w:val="Endnote Text Char"/>
    <w:basedOn w:val="DefaultParagraphFont"/>
    <w:link w:val="EndnoteText"/>
    <w:semiHidden/>
    <w:rsid w:val="005E10BF"/>
    <w:rPr>
      <w:rFonts w:ascii="Calibri" w:hAnsi="Calibri" w:cs="Times New Roman"/>
      <w:sz w:val="20"/>
      <w:szCs w:val="20"/>
    </w:rPr>
  </w:style>
  <w:style w:type="paragraph" w:styleId="Header">
    <w:name w:val="header"/>
    <w:basedOn w:val="Normal"/>
    <w:link w:val="HeaderChar"/>
    <w:uiPriority w:val="99"/>
    <w:unhideWhenUsed/>
    <w:rsid w:val="005E10BF"/>
    <w:pPr>
      <w:tabs>
        <w:tab w:val="center" w:pos="4513"/>
        <w:tab w:val="right" w:pos="9026"/>
      </w:tabs>
      <w:spacing w:before="0" w:after="0"/>
    </w:pPr>
  </w:style>
  <w:style w:type="character" w:customStyle="1" w:styleId="HeaderChar">
    <w:name w:val="Header Char"/>
    <w:basedOn w:val="DefaultParagraphFont"/>
    <w:link w:val="Header"/>
    <w:uiPriority w:val="99"/>
    <w:rsid w:val="005E10BF"/>
    <w:rPr>
      <w:rFonts w:ascii="Calibri" w:hAnsi="Calibri" w:cs="Times New Roman"/>
      <w:szCs w:val="24"/>
      <w:lang w:eastAsia="en-AU"/>
    </w:rPr>
  </w:style>
  <w:style w:type="paragraph" w:styleId="Footer">
    <w:name w:val="footer"/>
    <w:basedOn w:val="Normal"/>
    <w:link w:val="FooterChar"/>
    <w:uiPriority w:val="99"/>
    <w:unhideWhenUsed/>
    <w:rsid w:val="005E10BF"/>
    <w:pPr>
      <w:tabs>
        <w:tab w:val="center" w:pos="4513"/>
        <w:tab w:val="right" w:pos="9026"/>
      </w:tabs>
      <w:spacing w:before="0" w:after="0"/>
    </w:pPr>
  </w:style>
  <w:style w:type="character" w:customStyle="1" w:styleId="FooterChar">
    <w:name w:val="Footer Char"/>
    <w:basedOn w:val="DefaultParagraphFont"/>
    <w:link w:val="Footer"/>
    <w:uiPriority w:val="99"/>
    <w:rsid w:val="005E10BF"/>
    <w:rPr>
      <w:rFonts w:ascii="Calibri" w:hAnsi="Calibri"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825</Words>
  <Characters>4709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DIR 195 - Summary of Risk Assessment and Risk Management Plan</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195 - Summary of Risk Assessment and Risk Management Plan</dc:title>
  <dc:subject/>
  <dc:creator>OGTR.Voicemail@health.gov.au</dc:creator>
  <cp:keywords/>
  <dc:description/>
  <cp:lastModifiedBy>SMITH, Justine</cp:lastModifiedBy>
  <cp:revision>2</cp:revision>
  <dcterms:created xsi:type="dcterms:W3CDTF">2023-06-21T01:30:00Z</dcterms:created>
  <dcterms:modified xsi:type="dcterms:W3CDTF">2023-06-21T01:30:00Z</dcterms:modified>
</cp:coreProperties>
</file>