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CA127" w14:textId="7A9311A9" w:rsidR="009D35E9" w:rsidRPr="00E12965" w:rsidRDefault="009D35E9" w:rsidP="00091301">
      <w:pPr>
        <w:pStyle w:val="CmqTitle1"/>
        <w:spacing w:before="240"/>
        <w:rPr>
          <w:color w:val="auto"/>
        </w:rPr>
      </w:pPr>
      <w:bookmarkStart w:id="0" w:name="_Toc123029785"/>
      <w:r w:rsidRPr="00E12965">
        <w:rPr>
          <w:color w:val="auto"/>
        </w:rPr>
        <w:t>Gene Technology Technical Advisory Committee</w:t>
      </w:r>
      <w:bookmarkEnd w:id="0"/>
    </w:p>
    <w:p w14:paraId="1D7F2B43" w14:textId="279C413E" w:rsidR="009D35E9" w:rsidRPr="00E12965" w:rsidRDefault="00023DC8" w:rsidP="009D35E9">
      <w:pPr>
        <w:pStyle w:val="CmqTitle1"/>
        <w:rPr>
          <w:color w:val="auto"/>
          <w:szCs w:val="24"/>
        </w:rPr>
      </w:pPr>
      <w:r>
        <w:rPr>
          <w:color w:val="auto"/>
          <w:szCs w:val="24"/>
        </w:rPr>
        <w:t>2</w:t>
      </w:r>
      <w:r w:rsidR="008F190B">
        <w:rPr>
          <w:color w:val="auto"/>
          <w:szCs w:val="24"/>
        </w:rPr>
        <w:t xml:space="preserve"> </w:t>
      </w:r>
      <w:r>
        <w:rPr>
          <w:color w:val="auto"/>
          <w:szCs w:val="24"/>
        </w:rPr>
        <w:t xml:space="preserve">August </w:t>
      </w:r>
      <w:r w:rsidR="008F190B">
        <w:rPr>
          <w:color w:val="auto"/>
          <w:szCs w:val="24"/>
        </w:rPr>
        <w:t>2023</w:t>
      </w:r>
    </w:p>
    <w:p w14:paraId="32AB77DE" w14:textId="77777777" w:rsidR="009D35E9" w:rsidRPr="00E12965" w:rsidRDefault="009D35E9" w:rsidP="009D35E9">
      <w:pPr>
        <w:pStyle w:val="CmqTitle1"/>
        <w:spacing w:after="240"/>
        <w:rPr>
          <w:color w:val="auto"/>
          <w:szCs w:val="24"/>
        </w:rPr>
      </w:pPr>
      <w:r w:rsidRPr="00E12965">
        <w:rPr>
          <w:color w:val="auto"/>
          <w:szCs w:val="24"/>
        </w:rPr>
        <w:t>Communiqué</w:t>
      </w:r>
    </w:p>
    <w:p w14:paraId="772240E8" w14:textId="66B88C63" w:rsidR="009D35E9" w:rsidRPr="00E12965" w:rsidRDefault="009D35E9" w:rsidP="009D35E9">
      <w:pPr>
        <w:pStyle w:val="CmqTitle2"/>
        <w:ind w:left="0"/>
      </w:pPr>
      <w:r w:rsidRPr="00E12965">
        <w:t xml:space="preserve">This Communiqué covers matters considered at the </w:t>
      </w:r>
      <w:r w:rsidR="002A5C35" w:rsidRPr="00E12965">
        <w:t>3</w:t>
      </w:r>
      <w:r w:rsidR="00023DC8">
        <w:t>4</w:t>
      </w:r>
      <w:r w:rsidR="00023DC8">
        <w:rPr>
          <w:vertAlign w:val="superscript"/>
        </w:rPr>
        <w:t>th</w:t>
      </w:r>
      <w:r w:rsidR="008F190B">
        <w:t xml:space="preserve"> </w:t>
      </w:r>
      <w:r w:rsidRPr="00E12965">
        <w:t xml:space="preserve">videoconference of the </w:t>
      </w:r>
      <w:r w:rsidRPr="00E12965">
        <w:br/>
        <w:t>Gene Technology Technical Advisory Committee (</w:t>
      </w:r>
      <w:r w:rsidR="00023DC8">
        <w:t>2</w:t>
      </w:r>
      <w:r w:rsidR="008F190B">
        <w:t xml:space="preserve"> </w:t>
      </w:r>
      <w:r w:rsidR="00023DC8">
        <w:t xml:space="preserve">August </w:t>
      </w:r>
      <w:r w:rsidR="008F190B">
        <w:t>2023</w:t>
      </w:r>
      <w:r w:rsidRPr="00E12965">
        <w:t>)</w:t>
      </w:r>
    </w:p>
    <w:p w14:paraId="78210C7F" w14:textId="77777777" w:rsidR="009D35E9" w:rsidRPr="00E12965" w:rsidRDefault="009D35E9" w:rsidP="00C9263F">
      <w:pPr>
        <w:pStyle w:val="BodyText"/>
      </w:pPr>
      <w:r w:rsidRPr="00E12965">
        <w:t xml:space="preserve">The Gene Technology Technical Advisory Committee (GTTAC) is a statutory advisory committee established under the </w:t>
      </w:r>
      <w:r w:rsidRPr="00E12965">
        <w:rPr>
          <w:i/>
        </w:rPr>
        <w:t>Gene Technology Act 2000</w:t>
      </w:r>
      <w:r w:rsidRPr="00E12965">
        <w:t xml:space="preserve"> (the Act) to provide scientific and technical advice to the Gene Technology Regulator (the Regulator) and the Gene Technology Ministers’ Meeting. </w:t>
      </w:r>
    </w:p>
    <w:p w14:paraId="26E96D08" w14:textId="77777777" w:rsidR="009D35E9" w:rsidRPr="00E12965" w:rsidRDefault="009D35E9" w:rsidP="00C9263F">
      <w:pPr>
        <w:pStyle w:val="BodyText"/>
      </w:pPr>
      <w:r w:rsidRPr="00E12965">
        <w:t>The Regulator seeks advice from GTTAC on licence applications to work with Genetically Modified Organisms (GMOs) and on Risk Assessment and Risk Management Plans (RARMPs) prepared for applications. The purpose of this Communiqué is to provide a brief overview of GTTAC’s consideration of applications and RARMPs and, in accordance with the Gene Technology Regulations 2001, to publish committee resolutions given to the Regulator. The Communiqué also provides an overview of any other deliberations of the committee. It does not include information which is treated as Confidential Commercial Information in accordance with the Act.</w:t>
      </w:r>
    </w:p>
    <w:p w14:paraId="0B1E8CCE" w14:textId="77777777" w:rsidR="008F190B" w:rsidRPr="00857464" w:rsidRDefault="008F190B" w:rsidP="00511887">
      <w:pPr>
        <w:pStyle w:val="CmqHeading1"/>
      </w:pPr>
      <w:r w:rsidRPr="00857464">
        <w:t>Dealings Involving the Intentional Release of a GMO</w:t>
      </w:r>
    </w:p>
    <w:p w14:paraId="2E0C7D73" w14:textId="77777777" w:rsidR="008F190B" w:rsidRPr="00857464" w:rsidRDefault="008F190B" w:rsidP="008F190B">
      <w:pPr>
        <w:pStyle w:val="BodyText"/>
      </w:pPr>
      <w:r w:rsidRPr="00857464">
        <w:t>Dealings involving the Intentional Release (DIR) of a GMO into the environment can involve a limited and controlled release (clinical trial or field trial) or a commercial (general) release.</w:t>
      </w:r>
    </w:p>
    <w:p w14:paraId="30356A9D" w14:textId="77777777" w:rsidR="008F190B" w:rsidRPr="007F3778" w:rsidRDefault="008F190B" w:rsidP="008F190B">
      <w:pPr>
        <w:pStyle w:val="BodyText"/>
      </w:pPr>
      <w:r w:rsidRPr="007F3778">
        <w:t>For commercial releases, the Regulator must seek GTTAC advice twice. The first consultation is on matters to consider when preparing the RARMP and the second is on the RARMP itself. For limited and controlled releases, the Regulator must seek GTTAC advice only once on the RARMP.</w:t>
      </w:r>
    </w:p>
    <w:p w14:paraId="4834DD3A" w14:textId="2C867AB3" w:rsidR="00722FCE" w:rsidRDefault="008F190B" w:rsidP="008F190B">
      <w:pPr>
        <w:pStyle w:val="BodyText"/>
      </w:pPr>
      <w:r w:rsidRPr="00857464">
        <w:t xml:space="preserve">The RARMP for every DIR licence application is issued for public consultation. Information on how to obtain copies of DIR applications and RARMPs is provided at the end of this document. </w:t>
      </w:r>
    </w:p>
    <w:p w14:paraId="048240B4" w14:textId="24420594" w:rsidR="00542BC3" w:rsidRPr="005B26D0" w:rsidRDefault="00542BC3" w:rsidP="0027485F">
      <w:pPr>
        <w:pStyle w:val="Cmqheading2"/>
        <w:spacing w:line="264" w:lineRule="auto"/>
      </w:pPr>
      <w:r w:rsidRPr="00E5548A">
        <w:t xml:space="preserve">Advice on </w:t>
      </w:r>
      <w:r>
        <w:t>consultation rarmps</w:t>
      </w:r>
      <w:r w:rsidRPr="00E5548A">
        <w:t xml:space="preserve"> – </w:t>
      </w:r>
      <w:r>
        <w:t>limited and controlled</w:t>
      </w:r>
      <w:r w:rsidRPr="00E5548A">
        <w:t xml:space="preserve"> release</w:t>
      </w:r>
    </w:p>
    <w:p w14:paraId="1DD014B6" w14:textId="1B84D38D" w:rsidR="00762675" w:rsidRDefault="00000000" w:rsidP="00722FCE">
      <w:pPr>
        <w:pStyle w:val="Cmqheading3"/>
        <w:keepNext/>
        <w:spacing w:line="264" w:lineRule="auto"/>
        <w:ind w:left="1049" w:hanging="1049"/>
        <w:contextualSpacing w:val="0"/>
        <w:rPr>
          <w:color w:val="auto"/>
        </w:rPr>
      </w:pPr>
      <w:hyperlink r:id="rId8" w:history="1">
        <w:r w:rsidR="00023DC8">
          <w:rPr>
            <w:rStyle w:val="Hyperlink"/>
          </w:rPr>
          <w:t>DIR 197</w:t>
        </w:r>
      </w:hyperlink>
      <w:r w:rsidR="00762675">
        <w:rPr>
          <w:color w:val="auto"/>
        </w:rPr>
        <w:t xml:space="preserve"> – </w:t>
      </w:r>
      <w:r w:rsidR="00023DC8" w:rsidRPr="00023DC8">
        <w:rPr>
          <w:color w:val="auto"/>
        </w:rPr>
        <w:t xml:space="preserve">Clinical trial of genetically modified </w:t>
      </w:r>
      <w:r w:rsidR="00023DC8" w:rsidRPr="00CF699E">
        <w:rPr>
          <w:i/>
          <w:iCs/>
          <w:color w:val="auto"/>
        </w:rPr>
        <w:t>Lactobacillus brevis</w:t>
      </w:r>
      <w:r w:rsidR="00023DC8" w:rsidRPr="00023DC8">
        <w:rPr>
          <w:color w:val="auto"/>
        </w:rPr>
        <w:t xml:space="preserve"> for treatment of inflammatory bowel disease </w:t>
      </w:r>
    </w:p>
    <w:p w14:paraId="5F36D139" w14:textId="53859E05" w:rsidR="00785DC0" w:rsidRDefault="00722FCE" w:rsidP="00785DC0">
      <w:pPr>
        <w:pStyle w:val="BodyText"/>
      </w:pPr>
      <w:r>
        <w:t xml:space="preserve">Licence application DIR </w:t>
      </w:r>
      <w:r w:rsidR="00023DC8">
        <w:t xml:space="preserve">197 </w:t>
      </w:r>
      <w:r>
        <w:t xml:space="preserve">from </w:t>
      </w:r>
      <w:proofErr w:type="spellStart"/>
      <w:r w:rsidR="00075063" w:rsidRPr="00075063">
        <w:t>Novotech</w:t>
      </w:r>
      <w:proofErr w:type="spellEnd"/>
      <w:r w:rsidR="00075063" w:rsidRPr="00075063">
        <w:t xml:space="preserve"> (Australia) Pty Ltd</w:t>
      </w:r>
      <w:r w:rsidR="00075063" w:rsidRPr="00075063" w:rsidDel="00023DC8">
        <w:t xml:space="preserve"> </w:t>
      </w:r>
      <w:r>
        <w:t xml:space="preserve">is for </w:t>
      </w:r>
      <w:r w:rsidR="005C4A5E">
        <w:t xml:space="preserve">a clinical trial of genetically modified (GM) </w:t>
      </w:r>
      <w:r w:rsidR="005C4A5E" w:rsidRPr="00CF699E">
        <w:rPr>
          <w:i/>
          <w:iCs/>
        </w:rPr>
        <w:t>Lactobacillus brevis</w:t>
      </w:r>
      <w:r w:rsidR="005C4A5E">
        <w:t xml:space="preserve"> for treatment of inflammatory bowel disease.</w:t>
      </w:r>
    </w:p>
    <w:p w14:paraId="32E0A9CF" w14:textId="2DBCF196" w:rsidR="008818F9" w:rsidRPr="00275187" w:rsidRDefault="008818F9" w:rsidP="005F48AA">
      <w:pPr>
        <w:pStyle w:val="BodyText"/>
      </w:pPr>
      <w:r w:rsidRPr="008818F9">
        <w:t xml:space="preserve">GTTAC discussed the likelihood assessment </w:t>
      </w:r>
      <w:r w:rsidR="00997E13">
        <w:t>of</w:t>
      </w:r>
      <w:r w:rsidR="00997E13" w:rsidRPr="008818F9">
        <w:t xml:space="preserve"> </w:t>
      </w:r>
      <w:r w:rsidRPr="008818F9">
        <w:t xml:space="preserve">the identified plausible pathways for shedding of the GMO into the environment. GTTAC suggested clarifying in the RARMP how the risk levels of the individual events link to the overall conclusion. </w:t>
      </w:r>
    </w:p>
    <w:p w14:paraId="63D654AD" w14:textId="1E9FF93A" w:rsidR="00A60C53" w:rsidRDefault="00A60C53" w:rsidP="00A60C53">
      <w:pPr>
        <w:pStyle w:val="BodyText"/>
      </w:pPr>
      <w:r>
        <w:t xml:space="preserve">GTTAC noted a lack of data on the growth rate of the GMO, which would inform assessment of the likelihood of the GMO persisting in the environment. Members suggested </w:t>
      </w:r>
      <w:r w:rsidR="00997E13">
        <w:t>a comparison of the</w:t>
      </w:r>
      <w:r>
        <w:t xml:space="preserve"> </w:t>
      </w:r>
      <w:r w:rsidR="00997E13">
        <w:t>GMO and</w:t>
      </w:r>
      <w:r>
        <w:t xml:space="preserve"> native strain </w:t>
      </w:r>
      <w:r w:rsidR="00997E13">
        <w:t xml:space="preserve">bacterial growth rates </w:t>
      </w:r>
      <w:r>
        <w:t xml:space="preserve">would be highly informative. </w:t>
      </w:r>
    </w:p>
    <w:p w14:paraId="2E6BB4AE" w14:textId="3740F535" w:rsidR="00722FCE" w:rsidRPr="005F48AA" w:rsidRDefault="00A60C53" w:rsidP="00A60C53">
      <w:pPr>
        <w:pStyle w:val="BodyText"/>
      </w:pPr>
      <w:r>
        <w:lastRenderedPageBreak/>
        <w:t>GTTAC considered more data was needed on the levels of the human vasoactive intestinal peptide (VIP) produced by the GMO</w:t>
      </w:r>
      <w:r w:rsidR="0041698E">
        <w:t>. GTTAC</w:t>
      </w:r>
      <w:r>
        <w:t xml:space="preserve"> discussed the potential for a systemic infection in trial participants, noting that ulcerative colitis </w:t>
      </w:r>
      <w:r w:rsidR="001068CF">
        <w:t>is associated with inflammation and ulceration of the large intestine, which can lead to bacter</w:t>
      </w:r>
      <w:r>
        <w:t xml:space="preserve">aemia. </w:t>
      </w:r>
    </w:p>
    <w:tbl>
      <w:tblPr>
        <w:tblStyle w:val="TableGrid"/>
        <w:tblW w:w="0" w:type="auto"/>
        <w:tblLook w:val="04A0" w:firstRow="1" w:lastRow="0" w:firstColumn="1" w:lastColumn="0" w:noHBand="0" w:noVBand="1"/>
      </w:tblPr>
      <w:tblGrid>
        <w:gridCol w:w="9628"/>
      </w:tblGrid>
      <w:tr w:rsidR="00785DC0" w:rsidRPr="00785DC0" w14:paraId="6795BEDF" w14:textId="77777777" w:rsidTr="00785DC0">
        <w:tc>
          <w:tcPr>
            <w:tcW w:w="9628" w:type="dxa"/>
          </w:tcPr>
          <w:p w14:paraId="3E64E6D4" w14:textId="77777777" w:rsidR="00785DC0" w:rsidRPr="00785DC0" w:rsidRDefault="00785DC0" w:rsidP="00CC5075">
            <w:pPr>
              <w:pStyle w:val="BodyText"/>
              <w:rPr>
                <w:b/>
                <w:bCs/>
              </w:rPr>
            </w:pPr>
            <w:r w:rsidRPr="00785DC0">
              <w:rPr>
                <w:b/>
                <w:bCs/>
              </w:rPr>
              <w:t>Resolutions</w:t>
            </w:r>
          </w:p>
          <w:p w14:paraId="60054595" w14:textId="77777777" w:rsidR="0067448D" w:rsidRDefault="0067448D" w:rsidP="00C74A01">
            <w:pPr>
              <w:pStyle w:val="Default"/>
              <w:numPr>
                <w:ilvl w:val="0"/>
                <w:numId w:val="22"/>
              </w:numPr>
              <w:spacing w:after="63" w:line="240" w:lineRule="auto"/>
            </w:pPr>
            <w:r>
              <w:t>While the committee agreed that all risk scenarios were identified, they expressed concern with the individual and collective likelihood assessment of the release pathways of the GMO into the environment based on uncertainty in relation to a number of areas including the growth rate of the GMO, VIP expression levels, persistence of the GMO in the gastrointestinal tract, and the replication and competition potential of the GMO in the environment.</w:t>
            </w:r>
          </w:p>
          <w:p w14:paraId="6AE17D6D" w14:textId="663D4D4B" w:rsidR="00785DC0" w:rsidRPr="00785DC0" w:rsidRDefault="0067448D" w:rsidP="00C74A01">
            <w:pPr>
              <w:pStyle w:val="Default"/>
              <w:numPr>
                <w:ilvl w:val="0"/>
                <w:numId w:val="22"/>
              </w:numPr>
              <w:spacing w:after="63" w:line="240" w:lineRule="auto"/>
            </w:pPr>
            <w:r>
              <w:t>The committee recommended the office revise the RARMP to address these concerns and to ensure the consistency of the risk communication.</w:t>
            </w:r>
          </w:p>
        </w:tc>
      </w:tr>
    </w:tbl>
    <w:p w14:paraId="53744D04" w14:textId="77777777" w:rsidR="00542BC3" w:rsidRDefault="00542BC3" w:rsidP="00713911">
      <w:pPr>
        <w:pStyle w:val="CmqHeading1"/>
      </w:pPr>
      <w:r>
        <w:t>Dealings Not Involving the Intentional Release of a GMO</w:t>
      </w:r>
    </w:p>
    <w:p w14:paraId="2FBB77D5" w14:textId="77777777" w:rsidR="00542BC3" w:rsidRDefault="00542BC3" w:rsidP="00542BC3">
      <w:pPr>
        <w:pStyle w:val="BodyText"/>
      </w:pPr>
      <w:r>
        <w:t xml:space="preserve">The Regulator may seek GTTAC advice on RARMPs prepared for an application for Dealings Not involving an </w:t>
      </w:r>
      <w:r w:rsidRPr="006011E4">
        <w:t>Intentional</w:t>
      </w:r>
      <w:r>
        <w:t xml:space="preserve"> Release (DNIR) into the environment. DNIR licences include research work with GMOs </w:t>
      </w:r>
      <w:r w:rsidRPr="00D05532">
        <w:t>undertaken</w:t>
      </w:r>
      <w:r>
        <w:t xml:space="preserve"> in physical containment facilities (</w:t>
      </w:r>
      <w:proofErr w:type="gramStart"/>
      <w:r>
        <w:t>e.g.</w:t>
      </w:r>
      <w:proofErr w:type="gramEnd"/>
      <w:r>
        <w:t xml:space="preserve"> certified by the Regulator) and clinical trials undertaken in clinical facilities.</w:t>
      </w:r>
    </w:p>
    <w:p w14:paraId="45F0F700" w14:textId="77777777" w:rsidR="00542BC3" w:rsidRDefault="00542BC3" w:rsidP="00542BC3">
      <w:pPr>
        <w:pStyle w:val="Cmqheading2"/>
        <w:spacing w:line="264" w:lineRule="auto"/>
      </w:pPr>
      <w:r>
        <w:t>Advice on DNIR RARMPS</w:t>
      </w:r>
    </w:p>
    <w:p w14:paraId="3394D132" w14:textId="77777777" w:rsidR="00542BC3" w:rsidRPr="00762675" w:rsidRDefault="00542BC3" w:rsidP="00542BC3">
      <w:pPr>
        <w:pStyle w:val="Cmqheading3"/>
        <w:keepNext/>
        <w:spacing w:line="264" w:lineRule="auto"/>
        <w:ind w:left="1049" w:hanging="1049"/>
        <w:contextualSpacing w:val="0"/>
        <w:rPr>
          <w:color w:val="auto"/>
        </w:rPr>
      </w:pPr>
      <w:r w:rsidRPr="00264735">
        <w:rPr>
          <w:color w:val="auto"/>
        </w:rPr>
        <w:t>DNIR 670</w:t>
      </w:r>
      <w:r>
        <w:rPr>
          <w:color w:val="auto"/>
        </w:rPr>
        <w:t xml:space="preserve"> – </w:t>
      </w:r>
      <w:r w:rsidRPr="009650D0">
        <w:rPr>
          <w:color w:val="auto"/>
        </w:rPr>
        <w:t xml:space="preserve">Gene Drive </w:t>
      </w:r>
      <w:r w:rsidRPr="00F2306A">
        <w:rPr>
          <w:i/>
          <w:iCs/>
          <w:color w:val="auto"/>
        </w:rPr>
        <w:t xml:space="preserve">Anopheles </w:t>
      </w:r>
      <w:proofErr w:type="spellStart"/>
      <w:r w:rsidRPr="00F2306A">
        <w:rPr>
          <w:i/>
          <w:iCs/>
          <w:color w:val="auto"/>
        </w:rPr>
        <w:t>farauti</w:t>
      </w:r>
      <w:proofErr w:type="spellEnd"/>
    </w:p>
    <w:p w14:paraId="6F2A321E" w14:textId="7CCF9E2E" w:rsidR="00542BC3" w:rsidRDefault="00C74A01" w:rsidP="00542BC3">
      <w:pPr>
        <w:pStyle w:val="BodyText"/>
      </w:pPr>
      <w:r w:rsidRPr="009A5CAE">
        <w:t>QIMR Berghofer Medical Research Institute</w:t>
      </w:r>
      <w:r>
        <w:t xml:space="preserve"> has applied for a licence to conduct </w:t>
      </w:r>
      <w:r w:rsidR="00B35EF5">
        <w:t>laboratory-contained research to develop a gene drive mosquito to control the spread of malaria.</w:t>
      </w:r>
      <w:r w:rsidR="00542BC3" w:rsidRPr="001D4E9C">
        <w:t xml:space="preserve"> </w:t>
      </w:r>
      <w:r w:rsidR="00542BC3" w:rsidRPr="009A5CAE" w:rsidDel="009A5CAE">
        <w:t xml:space="preserve"> </w:t>
      </w:r>
    </w:p>
    <w:p w14:paraId="7272DE4E" w14:textId="74CFA476" w:rsidR="00542BC3" w:rsidRDefault="00542BC3" w:rsidP="00542BC3">
      <w:pPr>
        <w:pStyle w:val="BodyText"/>
      </w:pPr>
      <w:r w:rsidRPr="00F2446F">
        <w:t>GTTAC discussed and sought clarification on whether the antibodies</w:t>
      </w:r>
      <w:r w:rsidR="00B63157">
        <w:t xml:space="preserve"> intended to be</w:t>
      </w:r>
      <w:r w:rsidRPr="00F2446F">
        <w:t xml:space="preserve"> expressed by th</w:t>
      </w:r>
      <w:r w:rsidR="00C74A01">
        <w:t>e</w:t>
      </w:r>
      <w:r w:rsidRPr="00F2446F">
        <w:t xml:space="preserve"> GMO</w:t>
      </w:r>
      <w:r w:rsidR="00C74A01">
        <w:t>s</w:t>
      </w:r>
      <w:r w:rsidR="00DB0284">
        <w:t xml:space="preserve"> (</w:t>
      </w:r>
      <w:r w:rsidR="00C74A01">
        <w:t xml:space="preserve">three single-chained antibodies, </w:t>
      </w:r>
      <w:proofErr w:type="spellStart"/>
      <w:r w:rsidR="00B63157" w:rsidRPr="00E362A8">
        <w:t>scFvs</w:t>
      </w:r>
      <w:proofErr w:type="spellEnd"/>
      <w:r w:rsidR="00C74A01">
        <w:t>)</w:t>
      </w:r>
      <w:r w:rsidR="00B63157">
        <w:t xml:space="preserve"> </w:t>
      </w:r>
      <w:r w:rsidRPr="00F2446F">
        <w:t xml:space="preserve">cross-react with human antigens. GTTAC suggested that if so, this may impact the risk assessment. </w:t>
      </w:r>
    </w:p>
    <w:p w14:paraId="695E1D28" w14:textId="1B4B5FBA" w:rsidR="00542BC3" w:rsidRPr="00F80DF7" w:rsidRDefault="00C53B85" w:rsidP="00542BC3">
      <w:pPr>
        <w:pStyle w:val="BodyText"/>
      </w:pPr>
      <w:r>
        <w:t xml:space="preserve">GTTAC discussed </w:t>
      </w:r>
      <w:r w:rsidR="00BD13DF">
        <w:t xml:space="preserve">the </w:t>
      </w:r>
      <w:r w:rsidR="00FB7DE7">
        <w:t xml:space="preserve">role of </w:t>
      </w:r>
      <w:r w:rsidR="002A1CA3">
        <w:t xml:space="preserve">melittin and magainin in potential anaphylaxis and </w:t>
      </w:r>
      <w:r w:rsidR="001A2CC9">
        <w:t>suggested that the consequence assessment could be reduce</w:t>
      </w:r>
      <w:r w:rsidR="0000343A">
        <w:t>d</w:t>
      </w:r>
      <w:r w:rsidR="001A2CC9">
        <w:t xml:space="preserve">. </w:t>
      </w:r>
    </w:p>
    <w:tbl>
      <w:tblPr>
        <w:tblStyle w:val="TableGrid"/>
        <w:tblW w:w="0" w:type="auto"/>
        <w:tblLook w:val="04A0" w:firstRow="1" w:lastRow="0" w:firstColumn="1" w:lastColumn="0" w:noHBand="0" w:noVBand="1"/>
      </w:tblPr>
      <w:tblGrid>
        <w:gridCol w:w="9628"/>
      </w:tblGrid>
      <w:tr w:rsidR="00542BC3" w:rsidRPr="00A40F5B" w14:paraId="1B4D3D58" w14:textId="77777777" w:rsidTr="00F80DF7">
        <w:trPr>
          <w:trHeight w:val="699"/>
        </w:trPr>
        <w:tc>
          <w:tcPr>
            <w:tcW w:w="9628" w:type="dxa"/>
          </w:tcPr>
          <w:p w14:paraId="5A9172AD" w14:textId="77777777" w:rsidR="00542BC3" w:rsidRPr="005C1C0C" w:rsidRDefault="00542BC3" w:rsidP="006619D2">
            <w:pPr>
              <w:pStyle w:val="BodyText"/>
              <w:rPr>
                <w:b/>
                <w:bCs/>
              </w:rPr>
            </w:pPr>
            <w:r w:rsidRPr="005C1C0C">
              <w:rPr>
                <w:b/>
                <w:bCs/>
              </w:rPr>
              <w:t>Resolutions</w:t>
            </w:r>
          </w:p>
          <w:p w14:paraId="18E94D50" w14:textId="77777777" w:rsidR="00542BC3" w:rsidRPr="006D6645" w:rsidRDefault="00542BC3" w:rsidP="00542BC3">
            <w:pPr>
              <w:pStyle w:val="Default"/>
              <w:numPr>
                <w:ilvl w:val="0"/>
                <w:numId w:val="22"/>
              </w:numPr>
              <w:spacing w:after="63" w:line="240" w:lineRule="auto"/>
            </w:pPr>
            <w:r w:rsidRPr="006D6645">
              <w:t xml:space="preserve">The Committee agreed that all plausible risk scenarios were identified but requested the office consider the issue of the potential human cross-reactivity of the </w:t>
            </w:r>
            <w:proofErr w:type="spellStart"/>
            <w:r w:rsidRPr="006D6645">
              <w:t>scFVs</w:t>
            </w:r>
            <w:proofErr w:type="spellEnd"/>
            <w:r w:rsidRPr="006D6645">
              <w:t xml:space="preserve"> and revise the RARMP accordingly.</w:t>
            </w:r>
          </w:p>
          <w:p w14:paraId="4947B035" w14:textId="77777777" w:rsidR="00542BC3" w:rsidRPr="006D6645" w:rsidRDefault="00542BC3" w:rsidP="00542BC3">
            <w:pPr>
              <w:pStyle w:val="Default"/>
              <w:numPr>
                <w:ilvl w:val="0"/>
                <w:numId w:val="22"/>
              </w:numPr>
              <w:spacing w:after="63" w:line="240" w:lineRule="auto"/>
            </w:pPr>
            <w:r w:rsidRPr="006D6645">
              <w:t>The Committee agreed that the risk of anaphylaxis from single or repeated exposure of people involved in the trial to melittin and/or magainin is likely to be negligible to low in the context of the proposed containment measures.</w:t>
            </w:r>
          </w:p>
          <w:p w14:paraId="5E3FB94B" w14:textId="77777777" w:rsidR="00542BC3" w:rsidRPr="006D6645" w:rsidRDefault="00542BC3" w:rsidP="00542BC3">
            <w:pPr>
              <w:pStyle w:val="Default"/>
              <w:numPr>
                <w:ilvl w:val="0"/>
                <w:numId w:val="22"/>
              </w:numPr>
              <w:spacing w:after="63" w:line="240" w:lineRule="auto"/>
            </w:pPr>
            <w:r w:rsidRPr="006D6645">
              <w:t>The Committee did not identify additional information that should be considered.</w:t>
            </w:r>
          </w:p>
          <w:p w14:paraId="4DB45C7E" w14:textId="77777777" w:rsidR="00542BC3" w:rsidRPr="00E73B15" w:rsidRDefault="00542BC3" w:rsidP="00542BC3">
            <w:pPr>
              <w:pStyle w:val="Default"/>
              <w:numPr>
                <w:ilvl w:val="0"/>
                <w:numId w:val="22"/>
              </w:numPr>
              <w:spacing w:after="63" w:line="240" w:lineRule="auto"/>
            </w:pPr>
            <w:r w:rsidRPr="006D6645">
              <w:t>The Committee agreed with overall conclusion of the RARMP.</w:t>
            </w:r>
          </w:p>
        </w:tc>
      </w:tr>
    </w:tbl>
    <w:p w14:paraId="295E5C70" w14:textId="1574C0BC" w:rsidR="008F190B" w:rsidRDefault="00DB0F18" w:rsidP="00762675">
      <w:pPr>
        <w:pStyle w:val="Cmqheading3"/>
        <w:keepNext/>
        <w:spacing w:line="264" w:lineRule="auto"/>
        <w:ind w:left="1049" w:hanging="1049"/>
        <w:contextualSpacing w:val="0"/>
        <w:rPr>
          <w:color w:val="auto"/>
        </w:rPr>
      </w:pPr>
      <w:r w:rsidRPr="00264735">
        <w:rPr>
          <w:color w:val="auto"/>
        </w:rPr>
        <w:t>DNIR-671</w:t>
      </w:r>
      <w:r w:rsidR="00762675" w:rsidRPr="00953F3C">
        <w:rPr>
          <w:color w:val="auto"/>
        </w:rPr>
        <w:t xml:space="preserve"> – </w:t>
      </w:r>
      <w:r w:rsidR="003A6386" w:rsidRPr="00953F3C">
        <w:rPr>
          <w:color w:val="auto"/>
        </w:rPr>
        <w:t>Clinical</w:t>
      </w:r>
      <w:r w:rsidR="003A6386" w:rsidRPr="003A6386">
        <w:rPr>
          <w:color w:val="auto"/>
        </w:rPr>
        <w:t xml:space="preserve"> trial with a genetically modified </w:t>
      </w:r>
      <w:r w:rsidR="003A6386" w:rsidRPr="00716480">
        <w:rPr>
          <w:i/>
          <w:iCs/>
          <w:color w:val="auto"/>
        </w:rPr>
        <w:t>Salmonella</w:t>
      </w:r>
      <w:r w:rsidR="003A6386" w:rsidRPr="003A6386">
        <w:rPr>
          <w:color w:val="auto"/>
        </w:rPr>
        <w:t xml:space="preserve"> Typhimurium in patients with advanced solid tumours</w:t>
      </w:r>
    </w:p>
    <w:p w14:paraId="6B122895" w14:textId="1BBC5043" w:rsidR="003A6386" w:rsidRDefault="00AE55D2" w:rsidP="00ED6BFF">
      <w:pPr>
        <w:pStyle w:val="BodyText"/>
      </w:pPr>
      <w:r>
        <w:t xml:space="preserve">DNIR-671 is a licence application from </w:t>
      </w:r>
      <w:proofErr w:type="spellStart"/>
      <w:r w:rsidR="003A6386">
        <w:t>Novotech</w:t>
      </w:r>
      <w:proofErr w:type="spellEnd"/>
      <w:r>
        <w:t xml:space="preserve"> </w:t>
      </w:r>
      <w:r w:rsidR="00254765">
        <w:t xml:space="preserve">for </w:t>
      </w:r>
      <w:r w:rsidR="004D2813">
        <w:t xml:space="preserve">a clinical trial </w:t>
      </w:r>
      <w:r w:rsidR="00BC3A0E">
        <w:t xml:space="preserve">to </w:t>
      </w:r>
      <w:r w:rsidR="009A7F18" w:rsidRPr="009A7F18">
        <w:t xml:space="preserve">evaluate the safety and preliminary anti-tumour activity of </w:t>
      </w:r>
      <w:r w:rsidR="009A7F18">
        <w:t xml:space="preserve">GM </w:t>
      </w:r>
      <w:r w:rsidR="009A7F18" w:rsidRPr="00716480">
        <w:rPr>
          <w:i/>
          <w:iCs/>
        </w:rPr>
        <w:t>Salmonella</w:t>
      </w:r>
      <w:r w:rsidR="009A7F18">
        <w:t xml:space="preserve"> </w:t>
      </w:r>
      <w:r w:rsidR="009A7F18" w:rsidRPr="003A6386">
        <w:t xml:space="preserve">Typhimurium </w:t>
      </w:r>
      <w:r w:rsidR="009A7F18" w:rsidRPr="009A7F18">
        <w:t>in patients with metastatic or unresectable solid tumours.</w:t>
      </w:r>
    </w:p>
    <w:p w14:paraId="2C670C30" w14:textId="01999E11" w:rsidR="00874558" w:rsidRDefault="00F74321" w:rsidP="00ED6BFF">
      <w:pPr>
        <w:pStyle w:val="BodyText"/>
      </w:pPr>
      <w:r w:rsidRPr="00CF1C60">
        <w:lastRenderedPageBreak/>
        <w:t xml:space="preserve">GTTAC </w:t>
      </w:r>
      <w:r w:rsidR="003B3C42" w:rsidRPr="00CF1C60">
        <w:t>discussed</w:t>
      </w:r>
      <w:r w:rsidRPr="00CF1C60">
        <w:t xml:space="preserve"> the characteristics</w:t>
      </w:r>
      <w:r w:rsidR="003B3C42" w:rsidRPr="00CF1C60">
        <w:t xml:space="preserve"> and </w:t>
      </w:r>
      <w:r w:rsidRPr="00CF1C60">
        <w:t xml:space="preserve">distribution </w:t>
      </w:r>
      <w:r w:rsidR="003B3C42" w:rsidRPr="00CF1C60">
        <w:t xml:space="preserve">of the GMO </w:t>
      </w:r>
      <w:r w:rsidRPr="00CF1C60">
        <w:t xml:space="preserve">in different biological </w:t>
      </w:r>
      <w:r w:rsidR="00CF1C60" w:rsidRPr="00CF1C60">
        <w:t>samples and</w:t>
      </w:r>
      <w:r w:rsidRPr="00CF1C60">
        <w:t xml:space="preserve"> requested </w:t>
      </w:r>
      <w:r w:rsidR="003B3C42" w:rsidRPr="00CF1C60">
        <w:t>that the OGTR provide further clarification on this matter.</w:t>
      </w:r>
    </w:p>
    <w:p w14:paraId="36A61BD1" w14:textId="529E86B6" w:rsidR="00ED6BFF" w:rsidRPr="003B3C42" w:rsidRDefault="003B3C42" w:rsidP="00ED6BFF">
      <w:pPr>
        <w:pStyle w:val="BodyText"/>
      </w:pPr>
      <w:r>
        <w:t>Other key topics discussed by t</w:t>
      </w:r>
      <w:r w:rsidR="002A1BD4" w:rsidRPr="003B3C42">
        <w:t>he</w:t>
      </w:r>
      <w:r w:rsidR="000B1C91" w:rsidRPr="003B3C42">
        <w:t xml:space="preserve"> Committee include</w:t>
      </w:r>
      <w:r w:rsidR="002267D6" w:rsidRPr="003B3C42">
        <w:t>d</w:t>
      </w:r>
      <w:r w:rsidR="000B1C91" w:rsidRPr="003B3C42">
        <w:t>:</w:t>
      </w:r>
    </w:p>
    <w:p w14:paraId="622042E5" w14:textId="2EDAF9D4" w:rsidR="00647687" w:rsidRDefault="00647687" w:rsidP="00673C6D">
      <w:pPr>
        <w:pStyle w:val="BodyText"/>
        <w:numPr>
          <w:ilvl w:val="0"/>
          <w:numId w:val="20"/>
        </w:numPr>
      </w:pPr>
      <w:r>
        <w:t>the presence of the GMO in target tissues</w:t>
      </w:r>
    </w:p>
    <w:p w14:paraId="70DF0C69" w14:textId="5D0BB94E" w:rsidR="00755152" w:rsidRDefault="00755152" w:rsidP="00647687">
      <w:pPr>
        <w:pStyle w:val="BodyText"/>
        <w:numPr>
          <w:ilvl w:val="0"/>
          <w:numId w:val="20"/>
        </w:numPr>
      </w:pPr>
      <w:r>
        <w:t>whether the protein</w:t>
      </w:r>
      <w:r w:rsidR="00647687">
        <w:t xml:space="preserve"> expressed in the GMO</w:t>
      </w:r>
      <w:r>
        <w:t xml:space="preserve"> is membrane bound</w:t>
      </w:r>
      <w:r w:rsidR="00B35EF5">
        <w:t>.</w:t>
      </w:r>
    </w:p>
    <w:tbl>
      <w:tblPr>
        <w:tblStyle w:val="TableGrid"/>
        <w:tblW w:w="9639" w:type="dxa"/>
        <w:tblInd w:w="-5" w:type="dxa"/>
        <w:tblLook w:val="04A0" w:firstRow="1" w:lastRow="0" w:firstColumn="1" w:lastColumn="0" w:noHBand="0" w:noVBand="1"/>
      </w:tblPr>
      <w:tblGrid>
        <w:gridCol w:w="9639"/>
      </w:tblGrid>
      <w:tr w:rsidR="00FD6ACD" w14:paraId="71C2CC8C" w14:textId="77777777" w:rsidTr="00FD6ACD">
        <w:tc>
          <w:tcPr>
            <w:tcW w:w="9639" w:type="dxa"/>
          </w:tcPr>
          <w:p w14:paraId="5EA782D5" w14:textId="77777777" w:rsidR="00FD6ACD" w:rsidRPr="001474E6" w:rsidRDefault="00FD6ACD" w:rsidP="00FD6ACD">
            <w:pPr>
              <w:spacing w:before="120" w:after="120"/>
              <w:ind w:left="357"/>
              <w:rPr>
                <w:rFonts w:ascii="Arial" w:hAnsi="Arial" w:cs="Arial"/>
                <w:b/>
                <w:bCs/>
              </w:rPr>
            </w:pPr>
            <w:r w:rsidRPr="001474E6">
              <w:rPr>
                <w:rFonts w:ascii="Arial" w:hAnsi="Arial" w:cs="Arial"/>
                <w:b/>
                <w:bCs/>
              </w:rPr>
              <w:t>Resolutions</w:t>
            </w:r>
          </w:p>
          <w:p w14:paraId="5B530BBB" w14:textId="77777777" w:rsidR="00FD6ACD" w:rsidRPr="001474E6" w:rsidRDefault="00FD6ACD" w:rsidP="00FD6ACD">
            <w:pPr>
              <w:pStyle w:val="ListParagraph"/>
              <w:numPr>
                <w:ilvl w:val="0"/>
                <w:numId w:val="20"/>
              </w:numPr>
            </w:pPr>
            <w:r w:rsidRPr="001474E6">
              <w:t>The Committee agreed that the risk assessment identified all plausible risk scenarios. It recommended that the office further address in the RARMP implication</w:t>
            </w:r>
            <w:r>
              <w:t>s</w:t>
            </w:r>
            <w:r w:rsidRPr="001474E6">
              <w:t xml:space="preserve"> of the</w:t>
            </w:r>
            <w:r>
              <w:t xml:space="preserve"> characteristics and distribution of the GMO in tissues. </w:t>
            </w:r>
          </w:p>
          <w:p w14:paraId="1BF5EEE2" w14:textId="77777777" w:rsidR="00FD6ACD" w:rsidRPr="001474E6" w:rsidRDefault="00FD6ACD" w:rsidP="00FD6ACD">
            <w:pPr>
              <w:pStyle w:val="ListParagraph"/>
              <w:numPr>
                <w:ilvl w:val="0"/>
                <w:numId w:val="20"/>
              </w:numPr>
            </w:pPr>
            <w:r w:rsidRPr="001474E6">
              <w:t xml:space="preserve">Clarification is also sought on whether the expressed protein is </w:t>
            </w:r>
            <w:proofErr w:type="gramStart"/>
            <w:r w:rsidRPr="001474E6">
              <w:t>soluble</w:t>
            </w:r>
            <w:proofErr w:type="gramEnd"/>
            <w:r w:rsidRPr="001474E6">
              <w:t xml:space="preserve"> or membrane bound. </w:t>
            </w:r>
          </w:p>
          <w:p w14:paraId="44DA27CC" w14:textId="77777777" w:rsidR="00FD6ACD" w:rsidRPr="001474E6" w:rsidRDefault="00FD6ACD" w:rsidP="00FD6ACD">
            <w:pPr>
              <w:pStyle w:val="ListParagraph"/>
              <w:numPr>
                <w:ilvl w:val="0"/>
                <w:numId w:val="20"/>
              </w:numPr>
            </w:pPr>
            <w:r w:rsidRPr="001474E6">
              <w:t>The Committee agreed that the proposed licence conditions are appropriate for the dealings.</w:t>
            </w:r>
          </w:p>
          <w:p w14:paraId="003592D5" w14:textId="77777777" w:rsidR="00FD6ACD" w:rsidRPr="001474E6" w:rsidRDefault="00FD6ACD" w:rsidP="00FD6ACD">
            <w:pPr>
              <w:pStyle w:val="ListParagraph"/>
              <w:numPr>
                <w:ilvl w:val="0"/>
                <w:numId w:val="20"/>
              </w:numPr>
            </w:pPr>
            <w:r w:rsidRPr="001474E6">
              <w:t>There is no additional relevant information that should be considered.</w:t>
            </w:r>
          </w:p>
          <w:p w14:paraId="2C05B378" w14:textId="3147EDF4" w:rsidR="00FD6ACD" w:rsidRDefault="00FD6ACD" w:rsidP="00FD6ACD">
            <w:pPr>
              <w:pStyle w:val="ListParagraph"/>
              <w:numPr>
                <w:ilvl w:val="0"/>
                <w:numId w:val="20"/>
              </w:numPr>
            </w:pPr>
            <w:r w:rsidRPr="001474E6">
              <w:t>The Committee agreed with the overall conclusion of the RARMP.</w:t>
            </w:r>
          </w:p>
        </w:tc>
      </w:tr>
    </w:tbl>
    <w:p w14:paraId="5B49E486" w14:textId="1D473E08" w:rsidR="009D35E9" w:rsidRPr="00BA20C7" w:rsidRDefault="009D35E9" w:rsidP="00713911">
      <w:pPr>
        <w:pStyle w:val="CmqHeading1"/>
      </w:pPr>
      <w:r w:rsidRPr="00BA20C7">
        <w:t>Enquiries</w:t>
      </w:r>
    </w:p>
    <w:p w14:paraId="621A27E8" w14:textId="0C19CD10" w:rsidR="009D35E9" w:rsidRPr="00E12965" w:rsidRDefault="009D35E9" w:rsidP="00C9263F">
      <w:pPr>
        <w:pStyle w:val="BodyText"/>
      </w:pPr>
      <w:r w:rsidRPr="00E12965">
        <w:t xml:space="preserve">For all enquiries, please call the OGTR on 1800 181 030 or email </w:t>
      </w:r>
      <w:hyperlink r:id="rId9" w:history="1">
        <w:r w:rsidR="00DB0F18" w:rsidRPr="002E084A">
          <w:rPr>
            <w:rStyle w:val="Hyperlink"/>
          </w:rPr>
          <w:t>ogtr@health.gov.au</w:t>
        </w:r>
      </w:hyperlink>
      <w:r w:rsidRPr="00E12965">
        <w:t>.</w:t>
      </w:r>
    </w:p>
    <w:sectPr w:rsidR="009D35E9" w:rsidRPr="00E12965" w:rsidSect="00091301">
      <w:footerReference w:type="even" r:id="rId10"/>
      <w:footerReference w:type="default" r:id="rId11"/>
      <w:headerReference w:type="first" r:id="rId12"/>
      <w:footerReference w:type="first" r:id="rId13"/>
      <w:pgSz w:w="11906" w:h="16838" w:code="9"/>
      <w:pgMar w:top="1134" w:right="1134" w:bottom="1134" w:left="1134" w:header="567" w:footer="567"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41F23" w14:textId="77777777" w:rsidR="00790400" w:rsidRDefault="00790400">
      <w:pPr>
        <w:spacing w:after="0" w:line="240" w:lineRule="auto"/>
      </w:pPr>
      <w:r>
        <w:separator/>
      </w:r>
    </w:p>
  </w:endnote>
  <w:endnote w:type="continuationSeparator" w:id="0">
    <w:p w14:paraId="30548388" w14:textId="77777777" w:rsidR="00790400" w:rsidRDefault="00790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imes">
    <w:altName w:val="Times New Roman"/>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6AC6" w14:textId="77777777" w:rsidR="00682577" w:rsidRDefault="009D35E9" w:rsidP="002723BB">
    <w:pPr>
      <w:pStyle w:val="Footer"/>
      <w:framePr w:w="106" w:h="286" w:hRule="exact" w:wrap="around" w:vAnchor="text" w:hAnchor="page" w:x="10651" w:y="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21555" w14:textId="77777777" w:rsidR="00682577" w:rsidRDefault="00682577" w:rsidP="002723BB">
    <w:pPr>
      <w:pStyle w:val="Footer"/>
      <w:spacing w:after="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F9D4" w14:textId="76FD7867" w:rsidR="00E003FF" w:rsidRPr="006224A0" w:rsidRDefault="006224A0"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DC462F">
      <w:rPr>
        <w:rFonts w:ascii="Arial" w:hAnsi="Arial" w:cs="Arial"/>
        <w:sz w:val="20"/>
        <w:szCs w:val="20"/>
      </w:rPr>
      <w:t>2 August 2023</w:t>
    </w:r>
    <w:r w:rsidRPr="006224A0">
      <w:rPr>
        <w:rFonts w:ascii="Arial" w:hAnsi="Arial" w:cs="Arial"/>
        <w:sz w:val="20"/>
        <w:szCs w:val="20"/>
      </w:rPr>
      <w:tab/>
    </w:r>
    <w:r w:rsidRPr="006224A0">
      <w:rPr>
        <w:rFonts w:ascii="Arial" w:hAnsi="Arial" w:cs="Arial"/>
        <w:sz w:val="20"/>
        <w:szCs w:val="20"/>
      </w:rPr>
      <w:tab/>
      <w:t xml:space="preserve">Page </w:t>
    </w:r>
    <w:sdt>
      <w:sdtPr>
        <w:rPr>
          <w:rFonts w:ascii="Arial" w:hAnsi="Arial" w:cs="Arial"/>
          <w:sz w:val="20"/>
          <w:szCs w:val="20"/>
        </w:rPr>
        <w:id w:val="-52394294"/>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Pr>
            <w:rFonts w:ascii="Arial" w:hAnsi="Arial" w:cs="Arial"/>
            <w:sz w:val="20"/>
            <w:szCs w:val="20"/>
          </w:rPr>
          <w:t>1</w:t>
        </w:r>
        <w:r w:rsidRPr="006224A0">
          <w:rPr>
            <w:rFonts w:ascii="Arial" w:hAnsi="Arial" w:cs="Arial"/>
            <w:noProof/>
            <w:sz w:val="20"/>
            <w:szCs w:val="20"/>
          </w:rPr>
          <w:fldChar w:fldCharType="end"/>
        </w:r>
        <w:r w:rsidRPr="006224A0">
          <w:rPr>
            <w:rFonts w:ascii="Arial" w:hAnsi="Arial" w:cs="Arial"/>
            <w:noProof/>
            <w:sz w:val="20"/>
            <w:szCs w:val="20"/>
          </w:rPr>
          <w:t xml:space="preserve"> of </w:t>
        </w:r>
        <w:r w:rsidRPr="006224A0">
          <w:rPr>
            <w:rFonts w:ascii="Arial" w:hAnsi="Arial" w:cs="Arial"/>
            <w:noProof/>
            <w:sz w:val="20"/>
            <w:szCs w:val="20"/>
          </w:rPr>
          <w:fldChar w:fldCharType="begin"/>
        </w:r>
        <w:r w:rsidRPr="006224A0">
          <w:rPr>
            <w:rFonts w:ascii="Arial" w:hAnsi="Arial" w:cs="Arial"/>
            <w:noProof/>
            <w:sz w:val="20"/>
            <w:szCs w:val="20"/>
          </w:rPr>
          <w:instrText xml:space="preserve"> NUMPAGES   \* MERGEFORMAT </w:instrText>
        </w:r>
        <w:r w:rsidRPr="006224A0">
          <w:rPr>
            <w:rFonts w:ascii="Arial" w:hAnsi="Arial" w:cs="Arial"/>
            <w:noProof/>
            <w:sz w:val="20"/>
            <w:szCs w:val="20"/>
          </w:rPr>
          <w:fldChar w:fldCharType="separate"/>
        </w:r>
        <w:r>
          <w:rPr>
            <w:rFonts w:ascii="Arial" w:hAnsi="Arial" w:cs="Arial"/>
            <w:noProof/>
            <w:sz w:val="20"/>
            <w:szCs w:val="20"/>
          </w:rPr>
          <w:t>3</w:t>
        </w:r>
        <w:r w:rsidRPr="006224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5F4B" w14:textId="65648602" w:rsidR="00E003FF" w:rsidRPr="006224A0" w:rsidRDefault="00E003FF"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7D222D">
      <w:rPr>
        <w:rFonts w:ascii="Arial" w:hAnsi="Arial" w:cs="Arial"/>
        <w:sz w:val="20"/>
        <w:szCs w:val="20"/>
      </w:rPr>
      <w:t>2 August</w:t>
    </w:r>
    <w:r w:rsidR="00762675">
      <w:rPr>
        <w:rFonts w:ascii="Arial" w:hAnsi="Arial" w:cs="Arial"/>
        <w:sz w:val="20"/>
        <w:szCs w:val="20"/>
      </w:rPr>
      <w:t xml:space="preserve"> 2023</w:t>
    </w:r>
    <w:r w:rsidRPr="006224A0">
      <w:rPr>
        <w:rFonts w:ascii="Arial" w:hAnsi="Arial" w:cs="Arial"/>
        <w:sz w:val="20"/>
        <w:szCs w:val="20"/>
      </w:rPr>
      <w:tab/>
    </w:r>
    <w:r w:rsidR="006224A0" w:rsidRPr="006224A0">
      <w:rPr>
        <w:rFonts w:ascii="Arial" w:hAnsi="Arial" w:cs="Arial"/>
        <w:sz w:val="20"/>
        <w:szCs w:val="20"/>
      </w:rPr>
      <w:tab/>
      <w:t xml:space="preserve">Page </w:t>
    </w:r>
    <w:sdt>
      <w:sdtPr>
        <w:rPr>
          <w:rFonts w:ascii="Arial" w:hAnsi="Arial" w:cs="Arial"/>
          <w:sz w:val="20"/>
          <w:szCs w:val="20"/>
        </w:rPr>
        <w:id w:val="1937241287"/>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sidRPr="006224A0">
          <w:rPr>
            <w:rFonts w:ascii="Arial" w:hAnsi="Arial" w:cs="Arial"/>
            <w:noProof/>
            <w:sz w:val="20"/>
            <w:szCs w:val="20"/>
          </w:rPr>
          <w:t>2</w:t>
        </w:r>
        <w:r w:rsidRPr="006224A0">
          <w:rPr>
            <w:rFonts w:ascii="Arial" w:hAnsi="Arial" w:cs="Arial"/>
            <w:noProof/>
            <w:sz w:val="20"/>
            <w:szCs w:val="20"/>
          </w:rPr>
          <w:fldChar w:fldCharType="end"/>
        </w:r>
        <w:r w:rsidR="006224A0" w:rsidRPr="006224A0">
          <w:rPr>
            <w:rFonts w:ascii="Arial" w:hAnsi="Arial" w:cs="Arial"/>
            <w:noProof/>
            <w:sz w:val="20"/>
            <w:szCs w:val="20"/>
          </w:rPr>
          <w:t xml:space="preserve"> of </w:t>
        </w:r>
        <w:r w:rsidR="006224A0" w:rsidRPr="006224A0">
          <w:rPr>
            <w:rFonts w:ascii="Arial" w:hAnsi="Arial" w:cs="Arial"/>
            <w:noProof/>
            <w:sz w:val="20"/>
            <w:szCs w:val="20"/>
          </w:rPr>
          <w:fldChar w:fldCharType="begin"/>
        </w:r>
        <w:r w:rsidR="006224A0" w:rsidRPr="006224A0">
          <w:rPr>
            <w:rFonts w:ascii="Arial" w:hAnsi="Arial" w:cs="Arial"/>
            <w:noProof/>
            <w:sz w:val="20"/>
            <w:szCs w:val="20"/>
          </w:rPr>
          <w:instrText xml:space="preserve"> NUMPAGES   \* MERGEFORMAT </w:instrText>
        </w:r>
        <w:r w:rsidR="006224A0" w:rsidRPr="006224A0">
          <w:rPr>
            <w:rFonts w:ascii="Arial" w:hAnsi="Arial" w:cs="Arial"/>
            <w:noProof/>
            <w:sz w:val="20"/>
            <w:szCs w:val="20"/>
          </w:rPr>
          <w:fldChar w:fldCharType="separate"/>
        </w:r>
        <w:r w:rsidR="006224A0" w:rsidRPr="006224A0">
          <w:rPr>
            <w:rFonts w:ascii="Arial" w:hAnsi="Arial" w:cs="Arial"/>
            <w:noProof/>
            <w:sz w:val="20"/>
            <w:szCs w:val="20"/>
          </w:rPr>
          <w:t>3</w:t>
        </w:r>
        <w:r w:rsidR="006224A0" w:rsidRPr="006224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34E88" w14:textId="77777777" w:rsidR="00790400" w:rsidRDefault="00790400">
      <w:pPr>
        <w:spacing w:after="0" w:line="240" w:lineRule="auto"/>
      </w:pPr>
      <w:r>
        <w:separator/>
      </w:r>
    </w:p>
  </w:footnote>
  <w:footnote w:type="continuationSeparator" w:id="0">
    <w:p w14:paraId="0ED06081" w14:textId="77777777" w:rsidR="00790400" w:rsidRDefault="00790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F5C4" w14:textId="1042D358" w:rsidR="00682577" w:rsidRDefault="00157D15" w:rsidP="00091301">
    <w:pPr>
      <w:pStyle w:val="Header"/>
      <w:tabs>
        <w:tab w:val="clear" w:pos="4153"/>
        <w:tab w:val="clear" w:pos="8306"/>
        <w:tab w:val="left" w:pos="5245"/>
        <w:tab w:val="right" w:pos="9498"/>
      </w:tabs>
      <w:spacing w:after="0"/>
      <w:jc w:val="center"/>
      <w:rPr>
        <w:b/>
        <w:lang w:val="en-AU"/>
      </w:rPr>
    </w:pPr>
    <w:r>
      <w:rPr>
        <w:noProof/>
      </w:rPr>
      <w:drawing>
        <wp:inline distT="0" distB="0" distL="0" distR="0" wp14:anchorId="2A03721B" wp14:editId="2C1D5CFB">
          <wp:extent cx="2357275" cy="1220400"/>
          <wp:effectExtent l="0" t="0" r="5080" b="0"/>
          <wp:docPr id="3" name="Picture 3" descr="Department of Health OGT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Health OGT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7275" cy="122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92265"/>
    <w:multiLevelType w:val="hybridMultilevel"/>
    <w:tmpl w:val="5880B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EA337C"/>
    <w:multiLevelType w:val="hybridMultilevel"/>
    <w:tmpl w:val="B8E85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6362CD"/>
    <w:multiLevelType w:val="hybridMultilevel"/>
    <w:tmpl w:val="45B2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7C3821"/>
    <w:multiLevelType w:val="hybridMultilevel"/>
    <w:tmpl w:val="02CC89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D9A4472"/>
    <w:multiLevelType w:val="hybridMultilevel"/>
    <w:tmpl w:val="01A42D96"/>
    <w:lvl w:ilvl="0" w:tplc="84A652DE">
      <w:start w:val="1"/>
      <w:numFmt w:val="bullet"/>
      <w:lvlText w:val=""/>
      <w:lvlJc w:val="left"/>
      <w:pPr>
        <w:tabs>
          <w:tab w:val="num" w:pos="910"/>
        </w:tabs>
        <w:ind w:left="91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3719D9"/>
    <w:multiLevelType w:val="hybridMultilevel"/>
    <w:tmpl w:val="B85651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0440B5"/>
    <w:multiLevelType w:val="hybridMultilevel"/>
    <w:tmpl w:val="2A2C4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B60C0B"/>
    <w:multiLevelType w:val="hybridMultilevel"/>
    <w:tmpl w:val="8D1E3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617430E"/>
    <w:multiLevelType w:val="hybridMultilevel"/>
    <w:tmpl w:val="52D07E28"/>
    <w:lvl w:ilvl="0" w:tplc="0C090001">
      <w:start w:val="1"/>
      <w:numFmt w:val="bullet"/>
      <w:lvlText w:val=""/>
      <w:lvlJc w:val="left"/>
      <w:pPr>
        <w:ind w:left="949" w:hanging="360"/>
      </w:pPr>
      <w:rPr>
        <w:rFonts w:ascii="Symbol" w:hAnsi="Symbol" w:hint="default"/>
      </w:rPr>
    </w:lvl>
    <w:lvl w:ilvl="1" w:tplc="0C090003" w:tentative="1">
      <w:start w:val="1"/>
      <w:numFmt w:val="bullet"/>
      <w:lvlText w:val="o"/>
      <w:lvlJc w:val="left"/>
      <w:pPr>
        <w:ind w:left="1669" w:hanging="360"/>
      </w:pPr>
      <w:rPr>
        <w:rFonts w:ascii="Courier New" w:hAnsi="Courier New" w:cs="Courier New" w:hint="default"/>
      </w:rPr>
    </w:lvl>
    <w:lvl w:ilvl="2" w:tplc="0C090005" w:tentative="1">
      <w:start w:val="1"/>
      <w:numFmt w:val="bullet"/>
      <w:lvlText w:val=""/>
      <w:lvlJc w:val="left"/>
      <w:pPr>
        <w:ind w:left="2389" w:hanging="360"/>
      </w:pPr>
      <w:rPr>
        <w:rFonts w:ascii="Wingdings" w:hAnsi="Wingdings" w:hint="default"/>
      </w:rPr>
    </w:lvl>
    <w:lvl w:ilvl="3" w:tplc="0C090001" w:tentative="1">
      <w:start w:val="1"/>
      <w:numFmt w:val="bullet"/>
      <w:lvlText w:val=""/>
      <w:lvlJc w:val="left"/>
      <w:pPr>
        <w:ind w:left="3109" w:hanging="360"/>
      </w:pPr>
      <w:rPr>
        <w:rFonts w:ascii="Symbol" w:hAnsi="Symbol" w:hint="default"/>
      </w:rPr>
    </w:lvl>
    <w:lvl w:ilvl="4" w:tplc="0C090003" w:tentative="1">
      <w:start w:val="1"/>
      <w:numFmt w:val="bullet"/>
      <w:lvlText w:val="o"/>
      <w:lvlJc w:val="left"/>
      <w:pPr>
        <w:ind w:left="3829" w:hanging="360"/>
      </w:pPr>
      <w:rPr>
        <w:rFonts w:ascii="Courier New" w:hAnsi="Courier New" w:cs="Courier New" w:hint="default"/>
      </w:rPr>
    </w:lvl>
    <w:lvl w:ilvl="5" w:tplc="0C090005" w:tentative="1">
      <w:start w:val="1"/>
      <w:numFmt w:val="bullet"/>
      <w:lvlText w:val=""/>
      <w:lvlJc w:val="left"/>
      <w:pPr>
        <w:ind w:left="4549" w:hanging="360"/>
      </w:pPr>
      <w:rPr>
        <w:rFonts w:ascii="Wingdings" w:hAnsi="Wingdings" w:hint="default"/>
      </w:rPr>
    </w:lvl>
    <w:lvl w:ilvl="6" w:tplc="0C090001" w:tentative="1">
      <w:start w:val="1"/>
      <w:numFmt w:val="bullet"/>
      <w:lvlText w:val=""/>
      <w:lvlJc w:val="left"/>
      <w:pPr>
        <w:ind w:left="5269" w:hanging="360"/>
      </w:pPr>
      <w:rPr>
        <w:rFonts w:ascii="Symbol" w:hAnsi="Symbol" w:hint="default"/>
      </w:rPr>
    </w:lvl>
    <w:lvl w:ilvl="7" w:tplc="0C090003" w:tentative="1">
      <w:start w:val="1"/>
      <w:numFmt w:val="bullet"/>
      <w:lvlText w:val="o"/>
      <w:lvlJc w:val="left"/>
      <w:pPr>
        <w:ind w:left="5989" w:hanging="360"/>
      </w:pPr>
      <w:rPr>
        <w:rFonts w:ascii="Courier New" w:hAnsi="Courier New" w:cs="Courier New" w:hint="default"/>
      </w:rPr>
    </w:lvl>
    <w:lvl w:ilvl="8" w:tplc="0C090005" w:tentative="1">
      <w:start w:val="1"/>
      <w:numFmt w:val="bullet"/>
      <w:lvlText w:val=""/>
      <w:lvlJc w:val="left"/>
      <w:pPr>
        <w:ind w:left="6709" w:hanging="360"/>
      </w:pPr>
      <w:rPr>
        <w:rFonts w:ascii="Wingdings" w:hAnsi="Wingdings" w:hint="default"/>
      </w:rPr>
    </w:lvl>
  </w:abstractNum>
  <w:abstractNum w:abstractNumId="9" w15:restartNumberingAfterBreak="0">
    <w:nsid w:val="3C013948"/>
    <w:multiLevelType w:val="hybridMultilevel"/>
    <w:tmpl w:val="5B52C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214B45"/>
    <w:multiLevelType w:val="hybridMultilevel"/>
    <w:tmpl w:val="25B03DA6"/>
    <w:lvl w:ilvl="0" w:tplc="8A86AD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BB001F"/>
    <w:multiLevelType w:val="hybridMultilevel"/>
    <w:tmpl w:val="CA7C7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4122FE"/>
    <w:multiLevelType w:val="hybridMultilevel"/>
    <w:tmpl w:val="C4E4D460"/>
    <w:lvl w:ilvl="0" w:tplc="0E46F0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530C45"/>
    <w:multiLevelType w:val="hybridMultilevel"/>
    <w:tmpl w:val="AD9CB4E0"/>
    <w:lvl w:ilvl="0" w:tplc="95C059B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AD50544"/>
    <w:multiLevelType w:val="hybridMultilevel"/>
    <w:tmpl w:val="790E6B60"/>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5" w15:restartNumberingAfterBreak="0">
    <w:nsid w:val="4D503D68"/>
    <w:multiLevelType w:val="hybridMultilevel"/>
    <w:tmpl w:val="AA04D534"/>
    <w:lvl w:ilvl="0" w:tplc="DBF4AA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850B45"/>
    <w:multiLevelType w:val="hybridMultilevel"/>
    <w:tmpl w:val="A5B81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855E42"/>
    <w:multiLevelType w:val="hybridMultilevel"/>
    <w:tmpl w:val="934A112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5F3A00EC"/>
    <w:multiLevelType w:val="hybridMultilevel"/>
    <w:tmpl w:val="FEA6C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D76462"/>
    <w:multiLevelType w:val="hybridMultilevel"/>
    <w:tmpl w:val="FA005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576538"/>
    <w:multiLevelType w:val="hybridMultilevel"/>
    <w:tmpl w:val="E21A93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9A2062E"/>
    <w:multiLevelType w:val="hybridMultilevel"/>
    <w:tmpl w:val="64BE24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514480"/>
    <w:multiLevelType w:val="hybridMultilevel"/>
    <w:tmpl w:val="6D56D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F7B7201"/>
    <w:multiLevelType w:val="hybridMultilevel"/>
    <w:tmpl w:val="2C4E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003921">
    <w:abstractNumId w:val="4"/>
  </w:num>
  <w:num w:numId="2" w16cid:durableId="679091243">
    <w:abstractNumId w:val="12"/>
  </w:num>
  <w:num w:numId="3" w16cid:durableId="1100180176">
    <w:abstractNumId w:val="2"/>
  </w:num>
  <w:num w:numId="4" w16cid:durableId="580529149">
    <w:abstractNumId w:val="13"/>
  </w:num>
  <w:num w:numId="5" w16cid:durableId="1986810012">
    <w:abstractNumId w:val="19"/>
  </w:num>
  <w:num w:numId="6" w16cid:durableId="1276908636">
    <w:abstractNumId w:val="5"/>
  </w:num>
  <w:num w:numId="7" w16cid:durableId="1313481631">
    <w:abstractNumId w:val="7"/>
  </w:num>
  <w:num w:numId="8" w16cid:durableId="1074550396">
    <w:abstractNumId w:val="18"/>
  </w:num>
  <w:num w:numId="9" w16cid:durableId="220142365">
    <w:abstractNumId w:val="17"/>
  </w:num>
  <w:num w:numId="10" w16cid:durableId="1700859094">
    <w:abstractNumId w:val="11"/>
  </w:num>
  <w:num w:numId="11" w16cid:durableId="600407980">
    <w:abstractNumId w:val="12"/>
  </w:num>
  <w:num w:numId="12" w16cid:durableId="242225894">
    <w:abstractNumId w:val="12"/>
  </w:num>
  <w:num w:numId="13" w16cid:durableId="567349096">
    <w:abstractNumId w:val="15"/>
  </w:num>
  <w:num w:numId="14" w16cid:durableId="2106459518">
    <w:abstractNumId w:val="22"/>
  </w:num>
  <w:num w:numId="15" w16cid:durableId="1621840639">
    <w:abstractNumId w:val="16"/>
  </w:num>
  <w:num w:numId="16" w16cid:durableId="388499359">
    <w:abstractNumId w:val="8"/>
  </w:num>
  <w:num w:numId="17" w16cid:durableId="1448810951">
    <w:abstractNumId w:val="21"/>
  </w:num>
  <w:num w:numId="18" w16cid:durableId="22872206">
    <w:abstractNumId w:val="14"/>
  </w:num>
  <w:num w:numId="19" w16cid:durableId="1255171244">
    <w:abstractNumId w:val="9"/>
  </w:num>
  <w:num w:numId="20" w16cid:durableId="890463813">
    <w:abstractNumId w:val="23"/>
  </w:num>
  <w:num w:numId="21" w16cid:durableId="892886141">
    <w:abstractNumId w:val="6"/>
  </w:num>
  <w:num w:numId="22" w16cid:durableId="1306929471">
    <w:abstractNumId w:val="1"/>
  </w:num>
  <w:num w:numId="23" w16cid:durableId="328339047">
    <w:abstractNumId w:val="0"/>
  </w:num>
  <w:num w:numId="24" w16cid:durableId="337465967">
    <w:abstractNumId w:val="10"/>
  </w:num>
  <w:num w:numId="25" w16cid:durableId="4286714">
    <w:abstractNumId w:val="3"/>
  </w:num>
  <w:num w:numId="26" w16cid:durableId="162091806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E9"/>
    <w:rsid w:val="00001FA9"/>
    <w:rsid w:val="0000343A"/>
    <w:rsid w:val="0001495A"/>
    <w:rsid w:val="00021749"/>
    <w:rsid w:val="00023DC8"/>
    <w:rsid w:val="00034B85"/>
    <w:rsid w:val="00043D92"/>
    <w:rsid w:val="00047AD9"/>
    <w:rsid w:val="00052163"/>
    <w:rsid w:val="00075063"/>
    <w:rsid w:val="00082892"/>
    <w:rsid w:val="0008768A"/>
    <w:rsid w:val="00091301"/>
    <w:rsid w:val="00092974"/>
    <w:rsid w:val="00096269"/>
    <w:rsid w:val="00096576"/>
    <w:rsid w:val="000A6EEA"/>
    <w:rsid w:val="000B1C91"/>
    <w:rsid w:val="000B5BD6"/>
    <w:rsid w:val="000C7585"/>
    <w:rsid w:val="000D451C"/>
    <w:rsid w:val="000D6985"/>
    <w:rsid w:val="000E4B9D"/>
    <w:rsid w:val="000E731B"/>
    <w:rsid w:val="000F5562"/>
    <w:rsid w:val="001068CF"/>
    <w:rsid w:val="001235E1"/>
    <w:rsid w:val="001243D5"/>
    <w:rsid w:val="0013019E"/>
    <w:rsid w:val="00140138"/>
    <w:rsid w:val="00141F51"/>
    <w:rsid w:val="001473AA"/>
    <w:rsid w:val="001474E6"/>
    <w:rsid w:val="00157D15"/>
    <w:rsid w:val="00165E4D"/>
    <w:rsid w:val="00173151"/>
    <w:rsid w:val="001815EC"/>
    <w:rsid w:val="001938B5"/>
    <w:rsid w:val="001A2CC9"/>
    <w:rsid w:val="001A6260"/>
    <w:rsid w:val="001A6276"/>
    <w:rsid w:val="001B1DFB"/>
    <w:rsid w:val="001D4E9C"/>
    <w:rsid w:val="001E413D"/>
    <w:rsid w:val="001E6075"/>
    <w:rsid w:val="001F45A7"/>
    <w:rsid w:val="00203F58"/>
    <w:rsid w:val="00204F31"/>
    <w:rsid w:val="0020710A"/>
    <w:rsid w:val="00212C38"/>
    <w:rsid w:val="00215628"/>
    <w:rsid w:val="002267D6"/>
    <w:rsid w:val="002302B1"/>
    <w:rsid w:val="00254765"/>
    <w:rsid w:val="00264735"/>
    <w:rsid w:val="00270F68"/>
    <w:rsid w:val="0027485F"/>
    <w:rsid w:val="00275187"/>
    <w:rsid w:val="0027799F"/>
    <w:rsid w:val="00277ABF"/>
    <w:rsid w:val="00280050"/>
    <w:rsid w:val="00295C77"/>
    <w:rsid w:val="002A1BD4"/>
    <w:rsid w:val="002A1CA3"/>
    <w:rsid w:val="002A5C35"/>
    <w:rsid w:val="002B331C"/>
    <w:rsid w:val="002C1C83"/>
    <w:rsid w:val="002D606E"/>
    <w:rsid w:val="002F0E9D"/>
    <w:rsid w:val="0030277C"/>
    <w:rsid w:val="003122D1"/>
    <w:rsid w:val="00321D87"/>
    <w:rsid w:val="0033556E"/>
    <w:rsid w:val="003419AC"/>
    <w:rsid w:val="0034317D"/>
    <w:rsid w:val="003467A2"/>
    <w:rsid w:val="003551A5"/>
    <w:rsid w:val="00357CFA"/>
    <w:rsid w:val="00362F82"/>
    <w:rsid w:val="003715A9"/>
    <w:rsid w:val="00371AF4"/>
    <w:rsid w:val="00393050"/>
    <w:rsid w:val="003A36BC"/>
    <w:rsid w:val="003A5B1A"/>
    <w:rsid w:val="003A6386"/>
    <w:rsid w:val="003B3C42"/>
    <w:rsid w:val="003B5BC6"/>
    <w:rsid w:val="003D1705"/>
    <w:rsid w:val="003D3F1B"/>
    <w:rsid w:val="003E55F3"/>
    <w:rsid w:val="0041380F"/>
    <w:rsid w:val="0041516C"/>
    <w:rsid w:val="0041698E"/>
    <w:rsid w:val="00421BC6"/>
    <w:rsid w:val="00436452"/>
    <w:rsid w:val="004416F9"/>
    <w:rsid w:val="00443283"/>
    <w:rsid w:val="0044349A"/>
    <w:rsid w:val="00446BB9"/>
    <w:rsid w:val="004808A5"/>
    <w:rsid w:val="004A41D8"/>
    <w:rsid w:val="004C1646"/>
    <w:rsid w:val="004D17F0"/>
    <w:rsid w:val="004D2813"/>
    <w:rsid w:val="004D4627"/>
    <w:rsid w:val="004D7D45"/>
    <w:rsid w:val="004E19EC"/>
    <w:rsid w:val="004F4EC3"/>
    <w:rsid w:val="00511887"/>
    <w:rsid w:val="0052053D"/>
    <w:rsid w:val="00524267"/>
    <w:rsid w:val="005369F0"/>
    <w:rsid w:val="00542BC3"/>
    <w:rsid w:val="0054661D"/>
    <w:rsid w:val="00551B5D"/>
    <w:rsid w:val="00566575"/>
    <w:rsid w:val="00566D24"/>
    <w:rsid w:val="005832F2"/>
    <w:rsid w:val="00587515"/>
    <w:rsid w:val="00593627"/>
    <w:rsid w:val="005B26D0"/>
    <w:rsid w:val="005C1C0C"/>
    <w:rsid w:val="005C2A93"/>
    <w:rsid w:val="005C4A5E"/>
    <w:rsid w:val="005C4D58"/>
    <w:rsid w:val="005C716A"/>
    <w:rsid w:val="005D694A"/>
    <w:rsid w:val="005E4BE4"/>
    <w:rsid w:val="005E6593"/>
    <w:rsid w:val="005F48AA"/>
    <w:rsid w:val="005F6C35"/>
    <w:rsid w:val="006224A0"/>
    <w:rsid w:val="00630C98"/>
    <w:rsid w:val="00645A49"/>
    <w:rsid w:val="00645FDA"/>
    <w:rsid w:val="00647687"/>
    <w:rsid w:val="00657FE0"/>
    <w:rsid w:val="0066448D"/>
    <w:rsid w:val="00673C6D"/>
    <w:rsid w:val="0067448D"/>
    <w:rsid w:val="006766FD"/>
    <w:rsid w:val="00682577"/>
    <w:rsid w:val="00696045"/>
    <w:rsid w:val="006B2EA7"/>
    <w:rsid w:val="006B33EE"/>
    <w:rsid w:val="006B5B50"/>
    <w:rsid w:val="006C7553"/>
    <w:rsid w:val="006D3AD0"/>
    <w:rsid w:val="006D4A20"/>
    <w:rsid w:val="006E1BCD"/>
    <w:rsid w:val="006F2EC4"/>
    <w:rsid w:val="006F725F"/>
    <w:rsid w:val="007032CC"/>
    <w:rsid w:val="00703BD7"/>
    <w:rsid w:val="007068A4"/>
    <w:rsid w:val="007105B0"/>
    <w:rsid w:val="007110F4"/>
    <w:rsid w:val="00713911"/>
    <w:rsid w:val="00716480"/>
    <w:rsid w:val="00722FCE"/>
    <w:rsid w:val="00724223"/>
    <w:rsid w:val="007264E7"/>
    <w:rsid w:val="00737CDD"/>
    <w:rsid w:val="00737DED"/>
    <w:rsid w:val="0074309F"/>
    <w:rsid w:val="007527D6"/>
    <w:rsid w:val="00752BF4"/>
    <w:rsid w:val="00755152"/>
    <w:rsid w:val="00756DED"/>
    <w:rsid w:val="00761226"/>
    <w:rsid w:val="00762675"/>
    <w:rsid w:val="00772AC3"/>
    <w:rsid w:val="00783724"/>
    <w:rsid w:val="00785DC0"/>
    <w:rsid w:val="00790400"/>
    <w:rsid w:val="00790B56"/>
    <w:rsid w:val="007D222D"/>
    <w:rsid w:val="007D2244"/>
    <w:rsid w:val="007D2E3E"/>
    <w:rsid w:val="007D5F5E"/>
    <w:rsid w:val="007D73B1"/>
    <w:rsid w:val="007E5B45"/>
    <w:rsid w:val="007F795B"/>
    <w:rsid w:val="00816450"/>
    <w:rsid w:val="00817156"/>
    <w:rsid w:val="00834D3A"/>
    <w:rsid w:val="008539BF"/>
    <w:rsid w:val="00874558"/>
    <w:rsid w:val="00874730"/>
    <w:rsid w:val="00875BD4"/>
    <w:rsid w:val="008818F9"/>
    <w:rsid w:val="008846B3"/>
    <w:rsid w:val="008979B4"/>
    <w:rsid w:val="008C7F77"/>
    <w:rsid w:val="008D3D05"/>
    <w:rsid w:val="008D627E"/>
    <w:rsid w:val="008E2EAB"/>
    <w:rsid w:val="008F190B"/>
    <w:rsid w:val="008F45EC"/>
    <w:rsid w:val="008F5B7A"/>
    <w:rsid w:val="00911EF9"/>
    <w:rsid w:val="00915E2B"/>
    <w:rsid w:val="00924E54"/>
    <w:rsid w:val="009473B1"/>
    <w:rsid w:val="00953D72"/>
    <w:rsid w:val="00953F3C"/>
    <w:rsid w:val="00961929"/>
    <w:rsid w:val="009650D0"/>
    <w:rsid w:val="00966A36"/>
    <w:rsid w:val="0097177D"/>
    <w:rsid w:val="00975ED6"/>
    <w:rsid w:val="00975FEA"/>
    <w:rsid w:val="00997E13"/>
    <w:rsid w:val="009A072D"/>
    <w:rsid w:val="009A5CAE"/>
    <w:rsid w:val="009A7F18"/>
    <w:rsid w:val="009B338B"/>
    <w:rsid w:val="009C1E39"/>
    <w:rsid w:val="009C7FF8"/>
    <w:rsid w:val="009D1580"/>
    <w:rsid w:val="009D23EB"/>
    <w:rsid w:val="009D35E9"/>
    <w:rsid w:val="00A16E58"/>
    <w:rsid w:val="00A3428F"/>
    <w:rsid w:val="00A375B1"/>
    <w:rsid w:val="00A377D1"/>
    <w:rsid w:val="00A40F5B"/>
    <w:rsid w:val="00A451CA"/>
    <w:rsid w:val="00A53221"/>
    <w:rsid w:val="00A60C53"/>
    <w:rsid w:val="00A6158A"/>
    <w:rsid w:val="00A67176"/>
    <w:rsid w:val="00A706BE"/>
    <w:rsid w:val="00A82057"/>
    <w:rsid w:val="00A96DE5"/>
    <w:rsid w:val="00AA2A74"/>
    <w:rsid w:val="00AA4BA2"/>
    <w:rsid w:val="00AA6628"/>
    <w:rsid w:val="00AB086A"/>
    <w:rsid w:val="00AD0055"/>
    <w:rsid w:val="00AD1685"/>
    <w:rsid w:val="00AD1CA4"/>
    <w:rsid w:val="00AD32DD"/>
    <w:rsid w:val="00AD4748"/>
    <w:rsid w:val="00AE051B"/>
    <w:rsid w:val="00AE26D5"/>
    <w:rsid w:val="00AE2A1D"/>
    <w:rsid w:val="00AE55D2"/>
    <w:rsid w:val="00AF0B3F"/>
    <w:rsid w:val="00B00F84"/>
    <w:rsid w:val="00B07119"/>
    <w:rsid w:val="00B22734"/>
    <w:rsid w:val="00B269DB"/>
    <w:rsid w:val="00B35C4F"/>
    <w:rsid w:val="00B35EF5"/>
    <w:rsid w:val="00B4619D"/>
    <w:rsid w:val="00B52241"/>
    <w:rsid w:val="00B63157"/>
    <w:rsid w:val="00B8659B"/>
    <w:rsid w:val="00BA1223"/>
    <w:rsid w:val="00BA20C7"/>
    <w:rsid w:val="00BA6EFC"/>
    <w:rsid w:val="00BB7044"/>
    <w:rsid w:val="00BB7C76"/>
    <w:rsid w:val="00BC34FD"/>
    <w:rsid w:val="00BC3A0E"/>
    <w:rsid w:val="00BD13DF"/>
    <w:rsid w:val="00BD3AEC"/>
    <w:rsid w:val="00C07890"/>
    <w:rsid w:val="00C100BD"/>
    <w:rsid w:val="00C13D2D"/>
    <w:rsid w:val="00C30B8F"/>
    <w:rsid w:val="00C44F97"/>
    <w:rsid w:val="00C53B85"/>
    <w:rsid w:val="00C603A1"/>
    <w:rsid w:val="00C715A3"/>
    <w:rsid w:val="00C74A01"/>
    <w:rsid w:val="00C75137"/>
    <w:rsid w:val="00C7740E"/>
    <w:rsid w:val="00C8427A"/>
    <w:rsid w:val="00C91C84"/>
    <w:rsid w:val="00C9263F"/>
    <w:rsid w:val="00C9753E"/>
    <w:rsid w:val="00CB0957"/>
    <w:rsid w:val="00CF1C60"/>
    <w:rsid w:val="00CF699E"/>
    <w:rsid w:val="00D11220"/>
    <w:rsid w:val="00D13B73"/>
    <w:rsid w:val="00D15C61"/>
    <w:rsid w:val="00D23182"/>
    <w:rsid w:val="00D34911"/>
    <w:rsid w:val="00D353B4"/>
    <w:rsid w:val="00D50086"/>
    <w:rsid w:val="00D53824"/>
    <w:rsid w:val="00D84EF5"/>
    <w:rsid w:val="00DA5B53"/>
    <w:rsid w:val="00DA65AD"/>
    <w:rsid w:val="00DA73FE"/>
    <w:rsid w:val="00DB0284"/>
    <w:rsid w:val="00DB0F18"/>
    <w:rsid w:val="00DC462F"/>
    <w:rsid w:val="00DC4B0C"/>
    <w:rsid w:val="00DC52C4"/>
    <w:rsid w:val="00DC67BB"/>
    <w:rsid w:val="00DD5F7F"/>
    <w:rsid w:val="00DE1E69"/>
    <w:rsid w:val="00DE5650"/>
    <w:rsid w:val="00DF3848"/>
    <w:rsid w:val="00DF439C"/>
    <w:rsid w:val="00E003FF"/>
    <w:rsid w:val="00E010C0"/>
    <w:rsid w:val="00E02999"/>
    <w:rsid w:val="00E06BAC"/>
    <w:rsid w:val="00E12965"/>
    <w:rsid w:val="00E14969"/>
    <w:rsid w:val="00E15F47"/>
    <w:rsid w:val="00E4595B"/>
    <w:rsid w:val="00E6067E"/>
    <w:rsid w:val="00E63855"/>
    <w:rsid w:val="00E659AF"/>
    <w:rsid w:val="00E73B15"/>
    <w:rsid w:val="00E742DF"/>
    <w:rsid w:val="00E800C6"/>
    <w:rsid w:val="00E85509"/>
    <w:rsid w:val="00E8675E"/>
    <w:rsid w:val="00E87B35"/>
    <w:rsid w:val="00EA243C"/>
    <w:rsid w:val="00EC179B"/>
    <w:rsid w:val="00ED2E86"/>
    <w:rsid w:val="00ED6BFF"/>
    <w:rsid w:val="00EE4AB4"/>
    <w:rsid w:val="00EF2CF2"/>
    <w:rsid w:val="00EF5A32"/>
    <w:rsid w:val="00F14D6C"/>
    <w:rsid w:val="00F20234"/>
    <w:rsid w:val="00F2306A"/>
    <w:rsid w:val="00F2446F"/>
    <w:rsid w:val="00F36532"/>
    <w:rsid w:val="00F402E1"/>
    <w:rsid w:val="00F41403"/>
    <w:rsid w:val="00F5062E"/>
    <w:rsid w:val="00F61020"/>
    <w:rsid w:val="00F74321"/>
    <w:rsid w:val="00F80DF7"/>
    <w:rsid w:val="00F81B5E"/>
    <w:rsid w:val="00F90914"/>
    <w:rsid w:val="00F96531"/>
    <w:rsid w:val="00F96A17"/>
    <w:rsid w:val="00FA3A0B"/>
    <w:rsid w:val="00FA6FB1"/>
    <w:rsid w:val="00FB78D6"/>
    <w:rsid w:val="00FB7DE7"/>
    <w:rsid w:val="00FD6ACD"/>
    <w:rsid w:val="00FD7E22"/>
    <w:rsid w:val="00FE40F8"/>
    <w:rsid w:val="00FF0177"/>
    <w:rsid w:val="00FF0E46"/>
    <w:rsid w:val="00FF4EFE"/>
    <w:rsid w:val="00FF54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B04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19D"/>
    <w:pPr>
      <w:spacing w:after="200" w:line="276" w:lineRule="auto"/>
    </w:pPr>
    <w:rPr>
      <w:rFonts w:asciiTheme="minorHAnsi" w:eastAsiaTheme="minorEastAsia" w:hAnsiTheme="minorHAnsi" w:cstheme="minorBidi"/>
      <w:sz w:val="22"/>
      <w:szCs w:val="22"/>
      <w:lang w:eastAsia="en-AU"/>
    </w:rPr>
  </w:style>
  <w:style w:type="paragraph" w:styleId="Heading1">
    <w:name w:val="heading 1"/>
    <w:aliases w:val="c"/>
    <w:basedOn w:val="Normal"/>
    <w:next w:val="Normal"/>
    <w:link w:val="Heading1Char"/>
    <w:qFormat/>
    <w:rsid w:val="009D35E9"/>
    <w:pPr>
      <w:spacing w:before="480" w:after="0"/>
      <w:contextualSpacing/>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D35E9"/>
    <w:pPr>
      <w:spacing w:before="200" w:after="120" w:line="240" w:lineRule="auto"/>
      <w:ind w:left="1843" w:hanging="1843"/>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9D35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rsid w:val="009D35E9"/>
    <w:rPr>
      <w:rFonts w:asciiTheme="majorHAnsi" w:eastAsiaTheme="majorEastAsia" w:hAnsiTheme="majorHAnsi" w:cstheme="majorBidi"/>
      <w:b/>
      <w:bCs/>
      <w:sz w:val="28"/>
      <w:szCs w:val="28"/>
      <w:lang w:eastAsia="en-AU"/>
    </w:rPr>
  </w:style>
  <w:style w:type="character" w:customStyle="1" w:styleId="Heading2Char">
    <w:name w:val="Heading 2 Char"/>
    <w:basedOn w:val="DefaultParagraphFont"/>
    <w:link w:val="Heading2"/>
    <w:uiPriority w:val="9"/>
    <w:rsid w:val="009D35E9"/>
    <w:rPr>
      <w:rFonts w:asciiTheme="majorHAnsi" w:eastAsiaTheme="majorEastAsia" w:hAnsiTheme="majorHAnsi" w:cstheme="majorBidi"/>
      <w:b/>
      <w:bCs/>
      <w:szCs w:val="26"/>
      <w:lang w:eastAsia="en-AU"/>
    </w:rPr>
  </w:style>
  <w:style w:type="paragraph" w:styleId="Header">
    <w:name w:val="header"/>
    <w:basedOn w:val="Normal"/>
    <w:link w:val="HeaderChar"/>
    <w:rsid w:val="009D35E9"/>
    <w:pPr>
      <w:widowControl w:val="0"/>
      <w:tabs>
        <w:tab w:val="center" w:pos="4153"/>
        <w:tab w:val="right" w:pos="8306"/>
      </w:tabs>
    </w:pPr>
    <w:rPr>
      <w:snapToGrid w:val="0"/>
      <w:lang w:val="en-US" w:eastAsia="en-US"/>
    </w:rPr>
  </w:style>
  <w:style w:type="character" w:customStyle="1" w:styleId="HeaderChar">
    <w:name w:val="Header Char"/>
    <w:basedOn w:val="DefaultParagraphFont"/>
    <w:link w:val="Header"/>
    <w:rsid w:val="009D35E9"/>
    <w:rPr>
      <w:rFonts w:asciiTheme="minorHAnsi" w:eastAsiaTheme="minorEastAsia" w:hAnsiTheme="minorHAnsi" w:cstheme="minorBidi"/>
      <w:snapToGrid w:val="0"/>
      <w:sz w:val="22"/>
      <w:szCs w:val="22"/>
      <w:lang w:val="en-US"/>
    </w:rPr>
  </w:style>
  <w:style w:type="paragraph" w:styleId="Footer">
    <w:name w:val="footer"/>
    <w:basedOn w:val="Normal"/>
    <w:link w:val="FooterChar"/>
    <w:uiPriority w:val="99"/>
    <w:rsid w:val="009D35E9"/>
    <w:pPr>
      <w:tabs>
        <w:tab w:val="center" w:pos="4153"/>
        <w:tab w:val="right" w:pos="8306"/>
      </w:tabs>
    </w:pPr>
  </w:style>
  <w:style w:type="character" w:customStyle="1" w:styleId="FooterChar">
    <w:name w:val="Footer Char"/>
    <w:basedOn w:val="DefaultParagraphFont"/>
    <w:link w:val="Footer"/>
    <w:uiPriority w:val="99"/>
    <w:rsid w:val="009D35E9"/>
    <w:rPr>
      <w:rFonts w:asciiTheme="minorHAnsi" w:eastAsiaTheme="minorEastAsia" w:hAnsiTheme="minorHAnsi" w:cstheme="minorBidi"/>
      <w:sz w:val="22"/>
      <w:szCs w:val="22"/>
      <w:lang w:eastAsia="en-AU"/>
    </w:rPr>
  </w:style>
  <w:style w:type="character" w:styleId="PageNumber">
    <w:name w:val="page number"/>
    <w:basedOn w:val="DefaultParagraphFont"/>
    <w:rsid w:val="009D35E9"/>
  </w:style>
  <w:style w:type="paragraph" w:styleId="BodyText">
    <w:name w:val="Body Text"/>
    <w:basedOn w:val="Normal"/>
    <w:link w:val="BodyTextChar"/>
    <w:rsid w:val="00C9263F"/>
    <w:pPr>
      <w:spacing w:before="120" w:after="120" w:line="264" w:lineRule="auto"/>
    </w:pPr>
    <w:rPr>
      <w:rFonts w:ascii="Arial" w:hAnsi="Arial" w:cs="Arial"/>
    </w:rPr>
  </w:style>
  <w:style w:type="character" w:customStyle="1" w:styleId="BodyTextChar">
    <w:name w:val="Body Text Char"/>
    <w:basedOn w:val="DefaultParagraphFont"/>
    <w:link w:val="BodyText"/>
    <w:rsid w:val="00C9263F"/>
    <w:rPr>
      <w:rFonts w:ascii="Arial" w:eastAsiaTheme="minorEastAsia" w:hAnsi="Arial" w:cs="Arial"/>
      <w:sz w:val="22"/>
      <w:szCs w:val="22"/>
      <w:lang w:eastAsia="en-AU"/>
    </w:rPr>
  </w:style>
  <w:style w:type="paragraph" w:customStyle="1" w:styleId="Default">
    <w:name w:val="Default"/>
    <w:rsid w:val="009D35E9"/>
    <w:pPr>
      <w:autoSpaceDE w:val="0"/>
      <w:autoSpaceDN w:val="0"/>
      <w:adjustRightInd w:val="0"/>
      <w:spacing w:after="200" w:line="276" w:lineRule="auto"/>
    </w:pPr>
    <w:rPr>
      <w:rFonts w:ascii="Arial" w:eastAsiaTheme="minorEastAsia" w:hAnsi="Arial" w:cs="Arial"/>
      <w:color w:val="000000"/>
      <w:lang w:val="en-US"/>
    </w:rPr>
  </w:style>
  <w:style w:type="paragraph" w:styleId="ListParagraph">
    <w:name w:val="List Paragraph"/>
    <w:basedOn w:val="Normal"/>
    <w:link w:val="ListParagraphChar"/>
    <w:uiPriority w:val="34"/>
    <w:qFormat/>
    <w:rsid w:val="00C9263F"/>
    <w:pPr>
      <w:spacing w:after="60" w:line="240" w:lineRule="auto"/>
    </w:pPr>
    <w:rPr>
      <w:rFonts w:ascii="Arial" w:hAnsi="Arial" w:cs="Arial"/>
    </w:rPr>
  </w:style>
  <w:style w:type="paragraph" w:styleId="NoSpacing">
    <w:name w:val="No Spacing"/>
    <w:basedOn w:val="Normal"/>
    <w:uiPriority w:val="1"/>
    <w:qFormat/>
    <w:rsid w:val="009D35E9"/>
    <w:pPr>
      <w:spacing w:after="0" w:line="240" w:lineRule="auto"/>
    </w:pPr>
  </w:style>
  <w:style w:type="character" w:styleId="SubtleEmphasis">
    <w:name w:val="Subtle Emphasis"/>
    <w:uiPriority w:val="19"/>
    <w:qFormat/>
    <w:rsid w:val="009D35E9"/>
    <w:rPr>
      <w:i/>
      <w:iCs/>
    </w:rPr>
  </w:style>
  <w:style w:type="character" w:customStyle="1" w:styleId="ListParagraphChar">
    <w:name w:val="List Paragraph Char"/>
    <w:basedOn w:val="DefaultParagraphFont"/>
    <w:link w:val="ListParagraph"/>
    <w:uiPriority w:val="34"/>
    <w:rsid w:val="00C9263F"/>
    <w:rPr>
      <w:rFonts w:ascii="Arial" w:eastAsiaTheme="minorEastAsia" w:hAnsi="Arial" w:cs="Arial"/>
      <w:sz w:val="22"/>
      <w:szCs w:val="22"/>
      <w:lang w:eastAsia="en-AU"/>
    </w:rPr>
  </w:style>
  <w:style w:type="paragraph" w:customStyle="1" w:styleId="CmqHeading1">
    <w:name w:val="Cmq Heading 1"/>
    <w:basedOn w:val="Heading3"/>
    <w:link w:val="CmqHeading1Char"/>
    <w:autoRedefine/>
    <w:qFormat/>
    <w:rsid w:val="00713911"/>
    <w:pPr>
      <w:keepLines w:val="0"/>
      <w:spacing w:before="360" w:after="120" w:line="240" w:lineRule="auto"/>
    </w:pPr>
    <w:rPr>
      <w:rFonts w:ascii="Arial Bold" w:eastAsia="Times" w:hAnsi="Arial Bold" w:cs="Arial"/>
      <w:b/>
      <w:caps/>
      <w:color w:val="auto"/>
      <w:sz w:val="26"/>
      <w:szCs w:val="26"/>
    </w:rPr>
  </w:style>
  <w:style w:type="paragraph" w:customStyle="1" w:styleId="Cmqheading2">
    <w:name w:val="Cmq heading 2"/>
    <w:basedOn w:val="BodyText"/>
    <w:link w:val="Cmqheading2Char"/>
    <w:qFormat/>
    <w:rsid w:val="009D35E9"/>
    <w:pPr>
      <w:keepNext/>
      <w:spacing w:before="360" w:after="240" w:line="240" w:lineRule="auto"/>
    </w:pPr>
    <w:rPr>
      <w:rFonts w:eastAsia="Times"/>
      <w:b/>
      <w:bCs/>
      <w:i/>
      <w:caps/>
      <w:color w:val="000000"/>
    </w:rPr>
  </w:style>
  <w:style w:type="character" w:customStyle="1" w:styleId="CmqHeading1Char">
    <w:name w:val="Cmq Heading 1 Char"/>
    <w:basedOn w:val="Heading3Char"/>
    <w:link w:val="CmqHeading1"/>
    <w:rsid w:val="00713911"/>
    <w:rPr>
      <w:rFonts w:ascii="Arial Bold" w:eastAsia="Times" w:hAnsi="Arial Bold" w:cs="Arial"/>
      <w:b/>
      <w:caps/>
      <w:color w:val="1F3763" w:themeColor="accent1" w:themeShade="7F"/>
      <w:sz w:val="26"/>
      <w:szCs w:val="26"/>
      <w:lang w:eastAsia="en-AU"/>
    </w:rPr>
  </w:style>
  <w:style w:type="paragraph" w:customStyle="1" w:styleId="Cmqheading3">
    <w:name w:val="Cmq heading 3"/>
    <w:basedOn w:val="Heading3"/>
    <w:link w:val="Cmqheading3Char"/>
    <w:qFormat/>
    <w:rsid w:val="009D35E9"/>
    <w:pPr>
      <w:keepNext w:val="0"/>
      <w:keepLines w:val="0"/>
      <w:spacing w:before="240" w:after="120" w:line="23" w:lineRule="atLeast"/>
      <w:ind w:left="1191" w:hanging="1191"/>
      <w:contextualSpacing/>
      <w:outlineLvl w:val="9"/>
    </w:pPr>
    <w:rPr>
      <w:rFonts w:ascii="Arial" w:hAnsi="Arial" w:cs="Arial"/>
      <w:b/>
      <w:sz w:val="22"/>
      <w:szCs w:val="22"/>
    </w:rPr>
  </w:style>
  <w:style w:type="character" w:customStyle="1" w:styleId="Cmqheading2Char">
    <w:name w:val="Cmq heading 2 Char"/>
    <w:basedOn w:val="BodyTextChar"/>
    <w:link w:val="Cmqheading2"/>
    <w:rsid w:val="009D35E9"/>
    <w:rPr>
      <w:rFonts w:ascii="Arial" w:eastAsia="Times" w:hAnsi="Arial" w:cs="Arial"/>
      <w:b/>
      <w:bCs/>
      <w:i/>
      <w:caps/>
      <w:color w:val="000000"/>
      <w:sz w:val="22"/>
      <w:szCs w:val="22"/>
      <w:lang w:eastAsia="en-AU"/>
    </w:rPr>
  </w:style>
  <w:style w:type="paragraph" w:customStyle="1" w:styleId="CmqTitle1">
    <w:name w:val="Cmq Title 1"/>
    <w:basedOn w:val="Normal"/>
    <w:qFormat/>
    <w:rsid w:val="009D35E9"/>
    <w:pPr>
      <w:spacing w:before="120" w:after="120" w:line="260" w:lineRule="exact"/>
      <w:jc w:val="center"/>
    </w:pPr>
    <w:rPr>
      <w:rFonts w:ascii="Arial" w:eastAsiaTheme="minorHAnsi" w:hAnsi="Arial" w:cs="Arial"/>
      <w:b/>
      <w:bCs/>
      <w:color w:val="000000"/>
      <w:sz w:val="24"/>
      <w:szCs w:val="28"/>
      <w:lang w:eastAsia="en-US"/>
    </w:rPr>
  </w:style>
  <w:style w:type="character" w:customStyle="1" w:styleId="Cmqheading3Char">
    <w:name w:val="Cmq heading 3 Char"/>
    <w:basedOn w:val="Heading3Char"/>
    <w:link w:val="Cmqheading3"/>
    <w:rsid w:val="009D35E9"/>
    <w:rPr>
      <w:rFonts w:ascii="Arial" w:eastAsiaTheme="majorEastAsia" w:hAnsi="Arial" w:cs="Arial"/>
      <w:b/>
      <w:color w:val="1F3763" w:themeColor="accent1" w:themeShade="7F"/>
      <w:sz w:val="22"/>
      <w:szCs w:val="22"/>
      <w:lang w:eastAsia="en-AU"/>
    </w:rPr>
  </w:style>
  <w:style w:type="paragraph" w:customStyle="1" w:styleId="CmqTitle2">
    <w:name w:val="Cmq Title 2"/>
    <w:basedOn w:val="Normal"/>
    <w:qFormat/>
    <w:rsid w:val="009D35E9"/>
    <w:pPr>
      <w:pBdr>
        <w:top w:val="single" w:sz="4" w:space="12" w:color="auto"/>
        <w:bottom w:val="single" w:sz="4" w:space="12" w:color="auto"/>
      </w:pBdr>
      <w:spacing w:after="0" w:line="240" w:lineRule="auto"/>
      <w:ind w:left="360"/>
      <w:jc w:val="center"/>
    </w:pPr>
    <w:rPr>
      <w:rFonts w:ascii="Arial" w:eastAsia="Times" w:hAnsi="Arial" w:cs="Arial"/>
      <w:b/>
      <w:i/>
      <w:iCs/>
      <w:lang w:eastAsia="en-US"/>
    </w:rPr>
  </w:style>
  <w:style w:type="character" w:styleId="Hyperlink">
    <w:name w:val="Hyperlink"/>
    <w:basedOn w:val="DefaultParagraphFont"/>
    <w:uiPriority w:val="99"/>
    <w:unhideWhenUsed/>
    <w:rsid w:val="009D35E9"/>
    <w:rPr>
      <w:color w:val="0563C1" w:themeColor="hyperlink"/>
      <w:u w:val="single"/>
    </w:rPr>
  </w:style>
  <w:style w:type="table" w:styleId="TableGrid">
    <w:name w:val="Table Grid"/>
    <w:basedOn w:val="TableNormal"/>
    <w:uiPriority w:val="59"/>
    <w:rsid w:val="009D35E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D35E9"/>
    <w:rPr>
      <w:rFonts w:asciiTheme="majorHAnsi" w:eastAsiaTheme="majorEastAsia" w:hAnsiTheme="majorHAnsi" w:cstheme="majorBidi"/>
      <w:color w:val="1F3763" w:themeColor="accent1" w:themeShade="7F"/>
      <w:lang w:eastAsia="en-AU"/>
    </w:rPr>
  </w:style>
  <w:style w:type="character" w:styleId="FollowedHyperlink">
    <w:name w:val="FollowedHyperlink"/>
    <w:basedOn w:val="DefaultParagraphFont"/>
    <w:uiPriority w:val="99"/>
    <w:semiHidden/>
    <w:unhideWhenUsed/>
    <w:rsid w:val="009D35E9"/>
    <w:rPr>
      <w:color w:val="954F72" w:themeColor="followedHyperlink"/>
      <w:u w:val="single"/>
    </w:rPr>
  </w:style>
  <w:style w:type="character" w:styleId="UnresolvedMention">
    <w:name w:val="Unresolved Mention"/>
    <w:basedOn w:val="DefaultParagraphFont"/>
    <w:uiPriority w:val="99"/>
    <w:semiHidden/>
    <w:unhideWhenUsed/>
    <w:rsid w:val="0001495A"/>
    <w:rPr>
      <w:color w:val="605E5C"/>
      <w:shd w:val="clear" w:color="auto" w:fill="E1DFDD"/>
    </w:rPr>
  </w:style>
  <w:style w:type="character" w:styleId="CommentReference">
    <w:name w:val="annotation reference"/>
    <w:basedOn w:val="DefaultParagraphFont"/>
    <w:uiPriority w:val="99"/>
    <w:semiHidden/>
    <w:unhideWhenUsed/>
    <w:rsid w:val="00E87B35"/>
    <w:rPr>
      <w:sz w:val="16"/>
      <w:szCs w:val="16"/>
    </w:rPr>
  </w:style>
  <w:style w:type="paragraph" w:styleId="CommentText">
    <w:name w:val="annotation text"/>
    <w:basedOn w:val="Normal"/>
    <w:link w:val="CommentTextChar"/>
    <w:uiPriority w:val="99"/>
    <w:unhideWhenUsed/>
    <w:rsid w:val="00E87B35"/>
    <w:pPr>
      <w:spacing w:line="240" w:lineRule="auto"/>
    </w:pPr>
    <w:rPr>
      <w:sz w:val="20"/>
      <w:szCs w:val="20"/>
    </w:rPr>
  </w:style>
  <w:style w:type="character" w:customStyle="1" w:styleId="CommentTextChar">
    <w:name w:val="Comment Text Char"/>
    <w:basedOn w:val="DefaultParagraphFont"/>
    <w:link w:val="CommentText"/>
    <w:uiPriority w:val="99"/>
    <w:rsid w:val="00E87B35"/>
    <w:rPr>
      <w:rFonts w:asciiTheme="minorHAnsi" w:eastAsiaTheme="minorEastAsia" w:hAnsiTheme="minorHAnsi" w:cstheme="minorBidi"/>
      <w:sz w:val="20"/>
      <w:szCs w:val="20"/>
      <w:lang w:eastAsia="en-AU"/>
    </w:rPr>
  </w:style>
  <w:style w:type="paragraph" w:styleId="CommentSubject">
    <w:name w:val="annotation subject"/>
    <w:basedOn w:val="CommentText"/>
    <w:next w:val="CommentText"/>
    <w:link w:val="CommentSubjectChar"/>
    <w:uiPriority w:val="99"/>
    <w:semiHidden/>
    <w:unhideWhenUsed/>
    <w:rsid w:val="00E87B35"/>
    <w:rPr>
      <w:b/>
      <w:bCs/>
    </w:rPr>
  </w:style>
  <w:style w:type="character" w:customStyle="1" w:styleId="CommentSubjectChar">
    <w:name w:val="Comment Subject Char"/>
    <w:basedOn w:val="CommentTextChar"/>
    <w:link w:val="CommentSubject"/>
    <w:uiPriority w:val="99"/>
    <w:semiHidden/>
    <w:rsid w:val="00E87B35"/>
    <w:rPr>
      <w:rFonts w:asciiTheme="minorHAnsi" w:eastAsiaTheme="minorEastAsia" w:hAnsiTheme="minorHAnsi" w:cstheme="minorBidi"/>
      <w:b/>
      <w:bCs/>
      <w:sz w:val="20"/>
      <w:szCs w:val="20"/>
      <w:lang w:eastAsia="en-AU"/>
    </w:rPr>
  </w:style>
  <w:style w:type="paragraph" w:customStyle="1" w:styleId="paragraph">
    <w:name w:val="paragraph"/>
    <w:basedOn w:val="NoSpacing"/>
    <w:rsid w:val="00A40F5B"/>
    <w:pPr>
      <w:spacing w:before="120" w:after="120"/>
    </w:pPr>
  </w:style>
  <w:style w:type="paragraph" w:styleId="Revision">
    <w:name w:val="Revision"/>
    <w:hidden/>
    <w:uiPriority w:val="99"/>
    <w:semiHidden/>
    <w:rsid w:val="00023DC8"/>
    <w:pPr>
      <w:spacing w:after="0" w:line="240" w:lineRule="auto"/>
    </w:pPr>
    <w:rPr>
      <w:rFonts w:asciiTheme="minorHAnsi" w:eastAsiaTheme="minorEastAsia" w:hAnsiTheme="minorHAnsi" w:cstheme="minorBid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5827">
      <w:bodyDiv w:val="1"/>
      <w:marLeft w:val="0"/>
      <w:marRight w:val="0"/>
      <w:marTop w:val="0"/>
      <w:marBottom w:val="0"/>
      <w:divBdr>
        <w:top w:val="none" w:sz="0" w:space="0" w:color="auto"/>
        <w:left w:val="none" w:sz="0" w:space="0" w:color="auto"/>
        <w:bottom w:val="none" w:sz="0" w:space="0" w:color="auto"/>
        <w:right w:val="none" w:sz="0" w:space="0" w:color="auto"/>
      </w:divBdr>
    </w:div>
    <w:div w:id="651717438">
      <w:bodyDiv w:val="1"/>
      <w:marLeft w:val="0"/>
      <w:marRight w:val="0"/>
      <w:marTop w:val="0"/>
      <w:marBottom w:val="0"/>
      <w:divBdr>
        <w:top w:val="none" w:sz="0" w:space="0" w:color="auto"/>
        <w:left w:val="none" w:sz="0" w:space="0" w:color="auto"/>
        <w:bottom w:val="none" w:sz="0" w:space="0" w:color="auto"/>
        <w:right w:val="none" w:sz="0" w:space="0" w:color="auto"/>
      </w:divBdr>
    </w:div>
    <w:div w:id="14651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gtr.gov.au/gmo-dealings/dealings-involving-intentional-release/dir-197"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gtr@health.gov.a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6E339-8354-4787-852C-6498AC5A3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997</Words>
  <Characters>5688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Gene Technology Technical Advisory Committee 2 August 2023</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 Technology Technical Advisory Committee 2 August 2023 Communiqué</dc:title>
  <dc:subject/>
  <dc:creator/>
  <cp:keywords/>
  <dc:description/>
  <cp:lastModifiedBy/>
  <cp:revision>1</cp:revision>
  <dcterms:created xsi:type="dcterms:W3CDTF">2023-09-26T06:34:00Z</dcterms:created>
  <dcterms:modified xsi:type="dcterms:W3CDTF">2023-09-26T06:36:00Z</dcterms:modified>
</cp:coreProperties>
</file>