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E087" w14:textId="77777777" w:rsidR="006F488E" w:rsidRPr="006F488E" w:rsidRDefault="006F488E" w:rsidP="006F488E">
      <w:pPr>
        <w:keepNext/>
        <w:tabs>
          <w:tab w:val="left" w:pos="2268"/>
        </w:tabs>
        <w:spacing w:before="240" w:after="60"/>
        <w:ind w:left="1814" w:hanging="1814"/>
        <w:jc w:val="center"/>
        <w:outlineLvl w:val="0"/>
        <w:rPr>
          <w:rFonts w:eastAsia="Times New Roman" w:cs="Arial"/>
          <w:b/>
          <w:snapToGrid w:val="0"/>
          <w:sz w:val="36"/>
          <w:szCs w:val="36"/>
        </w:rPr>
      </w:pPr>
      <w:bookmarkStart w:id="0" w:name="_Toc47536733"/>
      <w:bookmarkStart w:id="1" w:name="_Toc146275863"/>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6F488E">
        <w:rPr>
          <w:rFonts w:eastAsia="Times New Roman" w:cs="Arial"/>
          <w:b/>
          <w:snapToGrid w:val="0"/>
          <w:sz w:val="36"/>
          <w:szCs w:val="36"/>
        </w:rPr>
        <w:t>Summary of the Risk Assessment and Risk Management Plan</w:t>
      </w:r>
      <w:bookmarkEnd w:id="0"/>
      <w:bookmarkEnd w:id="1"/>
    </w:p>
    <w:p w14:paraId="445A843E" w14:textId="77777777" w:rsidR="006F488E" w:rsidRPr="006F488E" w:rsidRDefault="006F488E" w:rsidP="006F488E">
      <w:pPr>
        <w:keepNext/>
        <w:spacing w:before="120" w:after="120"/>
        <w:jc w:val="center"/>
        <w:rPr>
          <w:rFonts w:eastAsia="Times New Roman" w:cs="Arial"/>
          <w:b/>
          <w:bCs/>
          <w:kern w:val="32"/>
          <w:sz w:val="28"/>
          <w:szCs w:val="28"/>
        </w:rPr>
      </w:pPr>
      <w:r w:rsidRPr="006F488E">
        <w:rPr>
          <w:rFonts w:eastAsia="Times New Roman" w:cs="Arial"/>
          <w:b/>
          <w:bCs/>
          <w:kern w:val="32"/>
          <w:sz w:val="28"/>
          <w:szCs w:val="28"/>
        </w:rPr>
        <w:t>for</w:t>
      </w:r>
    </w:p>
    <w:p w14:paraId="5F901943" w14:textId="77777777" w:rsidR="006F488E" w:rsidRPr="006F488E" w:rsidRDefault="006F488E" w:rsidP="006F488E">
      <w:pPr>
        <w:keepNext/>
        <w:spacing w:before="120" w:after="120"/>
        <w:jc w:val="center"/>
        <w:rPr>
          <w:rFonts w:eastAsia="Times New Roman" w:cs="Arial"/>
          <w:b/>
          <w:bCs/>
          <w:kern w:val="32"/>
          <w:sz w:val="36"/>
          <w:szCs w:val="36"/>
        </w:rPr>
      </w:pPr>
      <w:r w:rsidRPr="006F488E">
        <w:rPr>
          <w:rFonts w:eastAsia="Times New Roman" w:cs="Arial"/>
          <w:b/>
          <w:bCs/>
          <w:kern w:val="32"/>
          <w:sz w:val="36"/>
          <w:szCs w:val="36"/>
        </w:rPr>
        <w:t>Licence Application DIR 197</w:t>
      </w:r>
    </w:p>
    <w:p w14:paraId="3625F7E8" w14:textId="77777777" w:rsidR="006F488E" w:rsidRPr="006F488E" w:rsidRDefault="006F488E" w:rsidP="006F488E">
      <w:pPr>
        <w:keepNext/>
        <w:tabs>
          <w:tab w:val="left" w:pos="1418"/>
        </w:tabs>
        <w:spacing w:before="240" w:after="60"/>
        <w:outlineLvl w:val="1"/>
        <w:rPr>
          <w:rFonts w:eastAsia="Times New Roman"/>
          <w:b/>
          <w:i/>
          <w:sz w:val="28"/>
          <w:szCs w:val="28"/>
        </w:rPr>
      </w:pPr>
      <w:bookmarkStart w:id="10" w:name="_Toc47536734"/>
      <w:bookmarkStart w:id="11" w:name="_Toc146275864"/>
      <w:r w:rsidRPr="006F488E">
        <w:rPr>
          <w:rFonts w:eastAsia="Times New Roman"/>
          <w:b/>
          <w:i/>
          <w:sz w:val="28"/>
          <w:szCs w:val="28"/>
        </w:rPr>
        <w:t>Decision</w:t>
      </w:r>
      <w:bookmarkEnd w:id="10"/>
      <w:bookmarkEnd w:id="11"/>
    </w:p>
    <w:bookmarkEnd w:id="2"/>
    <w:bookmarkEnd w:id="3"/>
    <w:bookmarkEnd w:id="4"/>
    <w:bookmarkEnd w:id="5"/>
    <w:bookmarkEnd w:id="6"/>
    <w:bookmarkEnd w:id="7"/>
    <w:bookmarkEnd w:id="8"/>
    <w:bookmarkEnd w:id="9"/>
    <w:p w14:paraId="69A44D94" w14:textId="77777777" w:rsidR="006F488E" w:rsidRPr="006F488E" w:rsidRDefault="006F488E" w:rsidP="006F488E">
      <w:pPr>
        <w:spacing w:before="120" w:after="120"/>
        <w:rPr>
          <w:rFonts w:eastAsia="Times New Roman"/>
          <w:lang w:eastAsia="en-AU"/>
        </w:rPr>
      </w:pPr>
      <w:r w:rsidRPr="006F488E">
        <w:rPr>
          <w:rFonts w:eastAsia="Times New Roman"/>
          <w:lang w:eastAsia="en-AU"/>
        </w:rPr>
        <w:t>The Gene Technology Regulator (the Regulator) has decided to issue a licence for a clinical trial using a genetically modified organism (GMO). It qualifies as Dealings involving the Intentional Release (DIR) of genetically modified organisms into the Australian environment under the</w:t>
      </w:r>
      <w:r w:rsidRPr="006F488E">
        <w:rPr>
          <w:rFonts w:eastAsia="Times New Roman"/>
          <w:i/>
          <w:lang w:eastAsia="en-AU"/>
        </w:rPr>
        <w:t xml:space="preserve"> Gene Technology Act 2000 </w:t>
      </w:r>
      <w:r w:rsidRPr="006F488E">
        <w:rPr>
          <w:rFonts w:eastAsia="Times New Roman"/>
          <w:iCs/>
          <w:lang w:eastAsia="en-AU"/>
        </w:rPr>
        <w:t>(the Act).</w:t>
      </w:r>
      <w:r w:rsidRPr="006F488E">
        <w:rPr>
          <w:rFonts w:eastAsia="Times New Roman"/>
          <w:lang w:eastAsia="en-AU"/>
        </w:rPr>
        <w:t xml:space="preserve"> </w:t>
      </w:r>
    </w:p>
    <w:p w14:paraId="5F411FD9" w14:textId="77777777" w:rsidR="006F488E" w:rsidRPr="006F488E" w:rsidRDefault="006F488E" w:rsidP="006F488E">
      <w:pPr>
        <w:spacing w:before="120" w:after="120"/>
        <w:rPr>
          <w:rFonts w:eastAsia="Times New Roman"/>
          <w:lang w:eastAsia="en-AU"/>
        </w:rPr>
      </w:pPr>
      <w:r w:rsidRPr="006F488E">
        <w:rPr>
          <w:rFonts w:eastAsia="Times New Roman"/>
          <w:lang w:eastAsia="en-AU"/>
        </w:rPr>
        <w:t xml:space="preserve">The applicant, </w:t>
      </w:r>
      <w:proofErr w:type="spellStart"/>
      <w:r w:rsidRPr="006F488E">
        <w:rPr>
          <w:rFonts w:eastAsia="Times New Roman"/>
          <w:lang w:eastAsia="en-AU"/>
        </w:rPr>
        <w:t>Novotech</w:t>
      </w:r>
      <w:proofErr w:type="spellEnd"/>
      <w:r w:rsidRPr="006F488E">
        <w:rPr>
          <w:rFonts w:eastAsia="Times New Roman"/>
          <w:lang w:eastAsia="en-AU"/>
        </w:rPr>
        <w:t xml:space="preserve"> (Australia) Pty Limited (</w:t>
      </w:r>
      <w:proofErr w:type="spellStart"/>
      <w:r w:rsidRPr="006F488E">
        <w:rPr>
          <w:rFonts w:eastAsia="Times New Roman"/>
          <w:lang w:eastAsia="en-AU"/>
        </w:rPr>
        <w:t>Novotech</w:t>
      </w:r>
      <w:proofErr w:type="spellEnd"/>
      <w:r w:rsidRPr="006F488E">
        <w:rPr>
          <w:rFonts w:eastAsia="Times New Roman"/>
          <w:lang w:eastAsia="en-AU"/>
        </w:rPr>
        <w:t xml:space="preserve">) proposes to conduct a first-in-human clinical trial of genetically modified (GM) </w:t>
      </w:r>
      <w:r w:rsidRPr="006F488E">
        <w:rPr>
          <w:rFonts w:eastAsia="Times New Roman"/>
          <w:i/>
          <w:iCs/>
          <w:lang w:eastAsia="en-AU"/>
        </w:rPr>
        <w:t>Lactobacillus brevis</w:t>
      </w:r>
      <w:r w:rsidRPr="006F488E">
        <w:rPr>
          <w:rFonts w:eastAsia="Times New Roman"/>
          <w:lang w:eastAsia="en-AU"/>
        </w:rPr>
        <w:t xml:space="preserve"> bacteria for treatment of inflammatory bowel disease. The GMO would be administered orally and is designed to have anti-inflammatory effects in the gastrointestinal tract.</w:t>
      </w:r>
    </w:p>
    <w:p w14:paraId="606FB60D" w14:textId="77777777" w:rsidR="006F488E" w:rsidRPr="006F488E" w:rsidRDefault="006F488E" w:rsidP="006F488E">
      <w:pPr>
        <w:spacing w:before="120" w:after="120"/>
        <w:rPr>
          <w:rFonts w:eastAsia="Times New Roman"/>
          <w:lang w:eastAsia="en-AU"/>
        </w:rPr>
      </w:pPr>
      <w:r w:rsidRPr="006F488E">
        <w:rPr>
          <w:rFonts w:eastAsia="Times New Roman"/>
          <w:lang w:eastAsia="en-AU"/>
        </w:rPr>
        <w:t xml:space="preserve">Clinical trials in Australia are conducted in accordance with requirements of the </w:t>
      </w:r>
      <w:r w:rsidRPr="006F488E">
        <w:rPr>
          <w:rFonts w:eastAsia="Times New Roman"/>
          <w:i/>
          <w:lang w:eastAsia="en-AU"/>
        </w:rPr>
        <w:t>Therapeutic Goods Act 1989</w:t>
      </w:r>
      <w:r w:rsidRPr="006F488E">
        <w:rPr>
          <w:rFonts w:eastAsia="Times New Roman"/>
          <w:lang w:eastAsia="en-AU"/>
        </w:rPr>
        <w:t xml:space="preserve">, which is administered by the Therapeutic Goods Administration (TGA). Therefore, in addition to approval by the Regulator, </w:t>
      </w:r>
      <w:proofErr w:type="spellStart"/>
      <w:r w:rsidRPr="006F488E">
        <w:rPr>
          <w:rFonts w:eastAsia="Times New Roman"/>
          <w:lang w:eastAsia="en-AU"/>
        </w:rPr>
        <w:t>Novotech</w:t>
      </w:r>
      <w:proofErr w:type="spellEnd"/>
      <w:r w:rsidRPr="006F488E">
        <w:rPr>
          <w:rFonts w:eastAsia="Times New Roman"/>
          <w:lang w:eastAsia="en-AU"/>
        </w:rPr>
        <w:t xml:space="preserve"> will require authorisation from the TGA before the trial commences. Clinical trials conducted in Australia must also be conducted in accordance with the </w:t>
      </w:r>
      <w:hyperlink r:id="rId7" w:history="1">
        <w:r w:rsidRPr="006F488E">
          <w:rPr>
            <w:rFonts w:eastAsia="Times New Roman"/>
            <w:u w:val="single"/>
            <w:lang w:eastAsia="en-AU"/>
          </w:rPr>
          <w:t>National Statement on Ethical Conduct in Human Research</w:t>
        </w:r>
      </w:hyperlink>
      <w:r w:rsidRPr="006F488E">
        <w:rPr>
          <w:rFonts w:eastAsia="Times New Roman"/>
          <w:i/>
          <w:lang w:eastAsia="en-AU"/>
        </w:rPr>
        <w:t xml:space="preserve"> </w:t>
      </w:r>
      <w:r w:rsidRPr="006F488E">
        <w:rPr>
          <w:rFonts w:eastAsia="Times New Roman"/>
          <w:lang w:eastAsia="en-AU"/>
        </w:rPr>
        <w:t xml:space="preserve">and with the </w:t>
      </w:r>
      <w:hyperlink r:id="rId8" w:history="1">
        <w:r w:rsidRPr="006F488E">
          <w:rPr>
            <w:rFonts w:eastAsia="Times New Roman"/>
            <w:u w:val="single"/>
            <w:lang w:eastAsia="en-AU"/>
          </w:rPr>
          <w:t>Guidelines for Good Clinical Practice</w:t>
        </w:r>
      </w:hyperlink>
      <w:r w:rsidRPr="006F488E">
        <w:rPr>
          <w:rFonts w:eastAsia="Times New Roman"/>
          <w:lang w:eastAsia="en-AU"/>
        </w:rPr>
        <w:t xml:space="preserve"> of the International Council for Harmonisation of Technical Requirements for Registration of Pharmaceuticals for Human Use. </w:t>
      </w:r>
      <w:proofErr w:type="spellStart"/>
      <w:r w:rsidRPr="006F488E">
        <w:rPr>
          <w:rFonts w:eastAsia="Times New Roman"/>
          <w:lang w:eastAsia="en-AU"/>
        </w:rPr>
        <w:t>Novotech</w:t>
      </w:r>
      <w:proofErr w:type="spellEnd"/>
      <w:r w:rsidRPr="006F488E">
        <w:rPr>
          <w:rFonts w:eastAsia="Times New Roman"/>
          <w:lang w:eastAsia="en-AU"/>
        </w:rPr>
        <w:t xml:space="preserve"> will also require approval from the Department of Agriculture, Fisheries and Forestry for import of the GM treatment.</w:t>
      </w:r>
    </w:p>
    <w:p w14:paraId="38A7F1FB" w14:textId="77777777" w:rsidR="006F488E" w:rsidRPr="006F488E" w:rsidRDefault="006F488E" w:rsidP="006F488E">
      <w:pPr>
        <w:spacing w:before="120" w:after="120"/>
        <w:rPr>
          <w:rFonts w:eastAsia="Times New Roman"/>
          <w:lang w:eastAsia="en-AU"/>
        </w:rPr>
      </w:pPr>
      <w:r w:rsidRPr="006F488E">
        <w:rPr>
          <w:rFonts w:eastAsia="Times New Roman"/>
          <w:lang w:eastAsia="en-AU"/>
        </w:rPr>
        <w:t>The Regulator has prepared a Risk Assessment and Risk Management Plan (RARMP) for this application, which was finalised following consultation with a wide range of experts, agencies and authorities, and the public. The RARMP concludes that the proposed clinical trial poses negligible to moderate risks to human health and safety and the environment, and that the risks posed by the dealings can be managed by imposing conditions on the release.</w:t>
      </w:r>
      <w:bookmarkStart w:id="12" w:name="_Toc342042135"/>
      <w:bookmarkStart w:id="13" w:name="_Toc47536735"/>
      <w:bookmarkStart w:id="14" w:name="_Toc291151777"/>
      <w:bookmarkStart w:id="15" w:name="_Toc274904727"/>
      <w:bookmarkStart w:id="16" w:name="_Toc209859548"/>
    </w:p>
    <w:p w14:paraId="1DFAFB2F" w14:textId="77777777" w:rsidR="006F488E" w:rsidRPr="006F488E" w:rsidRDefault="006F488E" w:rsidP="006F488E">
      <w:pPr>
        <w:keepNext/>
        <w:tabs>
          <w:tab w:val="left" w:pos="1418"/>
        </w:tabs>
        <w:spacing w:before="240" w:after="60"/>
        <w:outlineLvl w:val="1"/>
        <w:rPr>
          <w:rFonts w:eastAsia="Times New Roman"/>
          <w:b/>
          <w:i/>
          <w:sz w:val="28"/>
          <w:szCs w:val="28"/>
          <w:lang w:eastAsia="en-AU"/>
        </w:rPr>
      </w:pPr>
      <w:bookmarkStart w:id="17" w:name="_Toc146275865"/>
      <w:r w:rsidRPr="006F488E">
        <w:rPr>
          <w:rFonts w:eastAsia="Times New Roman"/>
          <w:b/>
          <w:i/>
          <w:sz w:val="28"/>
          <w:szCs w:val="28"/>
          <w:lang w:eastAsia="en-AU"/>
        </w:rPr>
        <w:t xml:space="preserve">The </w:t>
      </w:r>
      <w:bookmarkEnd w:id="12"/>
      <w:bookmarkEnd w:id="13"/>
      <w:r w:rsidRPr="006F488E">
        <w:rPr>
          <w:rFonts w:eastAsia="Times New Roman"/>
          <w:b/>
          <w:i/>
          <w:sz w:val="28"/>
          <w:szCs w:val="28"/>
          <w:lang w:eastAsia="en-AU"/>
        </w:rPr>
        <w:t>licence</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rows for Project title, Parent organism, Genetic modifications, Principal purpose, Previous clinical trials, Duration, Release size, Locations and Controls."/>
      </w:tblPr>
      <w:tblGrid>
        <w:gridCol w:w="2405"/>
        <w:gridCol w:w="7201"/>
      </w:tblGrid>
      <w:tr w:rsidR="006F488E" w:rsidRPr="006F488E" w14:paraId="1AFE07CB" w14:textId="77777777" w:rsidTr="00323EE4">
        <w:tc>
          <w:tcPr>
            <w:tcW w:w="2405" w:type="dxa"/>
            <w:tcBorders>
              <w:top w:val="single" w:sz="4" w:space="0" w:color="auto"/>
              <w:left w:val="single" w:sz="4" w:space="0" w:color="auto"/>
              <w:bottom w:val="single" w:sz="4" w:space="0" w:color="auto"/>
              <w:right w:val="single" w:sz="4" w:space="0" w:color="auto"/>
            </w:tcBorders>
            <w:hideMark/>
          </w:tcPr>
          <w:p w14:paraId="4082FB1D" w14:textId="77777777" w:rsidR="006F488E" w:rsidRPr="006F488E" w:rsidRDefault="006F488E" w:rsidP="006F488E">
            <w:pPr>
              <w:spacing w:before="60" w:after="60"/>
              <w:rPr>
                <w:rFonts w:eastAsia="Times New Roman"/>
                <w:b/>
                <w:lang w:eastAsia="en-AU"/>
              </w:rPr>
            </w:pPr>
            <w:r w:rsidRPr="006F488E">
              <w:rPr>
                <w:rFonts w:eastAsia="Times New Roman"/>
                <w:b/>
                <w:lang w:eastAsia="en-AU"/>
              </w:rPr>
              <w:t>Project title</w:t>
            </w:r>
          </w:p>
        </w:tc>
        <w:tc>
          <w:tcPr>
            <w:tcW w:w="7201" w:type="dxa"/>
            <w:tcBorders>
              <w:top w:val="single" w:sz="4" w:space="0" w:color="auto"/>
              <w:left w:val="single" w:sz="4" w:space="0" w:color="auto"/>
              <w:bottom w:val="single" w:sz="4" w:space="0" w:color="auto"/>
              <w:right w:val="single" w:sz="4" w:space="0" w:color="auto"/>
            </w:tcBorders>
          </w:tcPr>
          <w:p w14:paraId="7BE8547C" w14:textId="77777777" w:rsidR="006F488E" w:rsidRPr="006F488E" w:rsidRDefault="006F488E" w:rsidP="006F488E">
            <w:pPr>
              <w:spacing w:before="60" w:after="60"/>
              <w:rPr>
                <w:rFonts w:eastAsia="Times New Roman"/>
                <w:lang w:eastAsia="en-AU"/>
              </w:rPr>
            </w:pPr>
            <w:r w:rsidRPr="006F488E">
              <w:rPr>
                <w:rFonts w:eastAsia="Times New Roman"/>
                <w:lang w:eastAsia="en-AU"/>
              </w:rPr>
              <w:t xml:space="preserve">Clinical trial of genetically modified </w:t>
            </w:r>
            <w:r w:rsidRPr="006F488E">
              <w:rPr>
                <w:rFonts w:eastAsia="Times New Roman"/>
                <w:i/>
                <w:iCs/>
                <w:lang w:eastAsia="en-AU"/>
              </w:rPr>
              <w:t>Lactobacillus brevis</w:t>
            </w:r>
            <w:r w:rsidRPr="006F488E">
              <w:rPr>
                <w:rFonts w:eastAsia="Times New Roman"/>
                <w:lang w:eastAsia="en-AU"/>
              </w:rPr>
              <w:t xml:space="preserve"> for treatment of inflammatory bowel disease</w:t>
            </w:r>
          </w:p>
        </w:tc>
      </w:tr>
      <w:tr w:rsidR="006F488E" w:rsidRPr="006F488E" w14:paraId="0CB58E64" w14:textId="77777777" w:rsidTr="00323EE4">
        <w:tc>
          <w:tcPr>
            <w:tcW w:w="2405" w:type="dxa"/>
            <w:tcBorders>
              <w:top w:val="single" w:sz="4" w:space="0" w:color="auto"/>
              <w:left w:val="single" w:sz="4" w:space="0" w:color="auto"/>
              <w:bottom w:val="single" w:sz="4" w:space="0" w:color="auto"/>
              <w:right w:val="single" w:sz="4" w:space="0" w:color="auto"/>
            </w:tcBorders>
            <w:hideMark/>
          </w:tcPr>
          <w:p w14:paraId="1E7DBC35" w14:textId="77777777" w:rsidR="006F488E" w:rsidRPr="006F488E" w:rsidRDefault="006F488E" w:rsidP="006F488E">
            <w:pPr>
              <w:spacing w:before="60" w:after="60"/>
              <w:rPr>
                <w:rFonts w:eastAsia="Times New Roman"/>
                <w:b/>
                <w:lang w:eastAsia="en-AU"/>
              </w:rPr>
            </w:pPr>
            <w:r w:rsidRPr="006F488E">
              <w:rPr>
                <w:rFonts w:eastAsia="Times New Roman"/>
                <w:b/>
                <w:lang w:eastAsia="en-AU"/>
              </w:rPr>
              <w:t>Parent organism</w:t>
            </w:r>
          </w:p>
        </w:tc>
        <w:tc>
          <w:tcPr>
            <w:tcW w:w="7201" w:type="dxa"/>
            <w:tcBorders>
              <w:top w:val="single" w:sz="4" w:space="0" w:color="auto"/>
              <w:left w:val="single" w:sz="4" w:space="0" w:color="auto"/>
              <w:bottom w:val="single" w:sz="4" w:space="0" w:color="auto"/>
              <w:right w:val="single" w:sz="4" w:space="0" w:color="auto"/>
            </w:tcBorders>
          </w:tcPr>
          <w:p w14:paraId="58A9FF57" w14:textId="77777777" w:rsidR="006F488E" w:rsidRPr="006F488E" w:rsidRDefault="006F488E" w:rsidP="006F488E">
            <w:pPr>
              <w:spacing w:before="60" w:after="60"/>
              <w:rPr>
                <w:rFonts w:eastAsia="Times New Roman"/>
                <w:lang w:eastAsia="en-AU"/>
              </w:rPr>
            </w:pPr>
            <w:r w:rsidRPr="006F488E">
              <w:rPr>
                <w:rFonts w:eastAsia="Times New Roman"/>
                <w:i/>
                <w:lang w:eastAsia="en-AU"/>
              </w:rPr>
              <w:t>Lactobacillus brevis</w:t>
            </w:r>
          </w:p>
        </w:tc>
      </w:tr>
      <w:tr w:rsidR="006F488E" w:rsidRPr="006F488E" w14:paraId="6C512151" w14:textId="77777777" w:rsidTr="00323EE4">
        <w:tc>
          <w:tcPr>
            <w:tcW w:w="2405" w:type="dxa"/>
            <w:tcBorders>
              <w:top w:val="single" w:sz="4" w:space="0" w:color="auto"/>
              <w:left w:val="single" w:sz="4" w:space="0" w:color="auto"/>
              <w:bottom w:val="single" w:sz="4" w:space="0" w:color="auto"/>
              <w:right w:val="single" w:sz="4" w:space="0" w:color="auto"/>
            </w:tcBorders>
            <w:hideMark/>
          </w:tcPr>
          <w:p w14:paraId="2C244761" w14:textId="77777777" w:rsidR="006F488E" w:rsidRPr="006F488E" w:rsidRDefault="006F488E" w:rsidP="006F488E">
            <w:pPr>
              <w:spacing w:before="60" w:after="60"/>
              <w:rPr>
                <w:rFonts w:eastAsia="Times New Roman"/>
                <w:b/>
                <w:lang w:eastAsia="en-AU"/>
              </w:rPr>
            </w:pPr>
            <w:r w:rsidRPr="006F488E">
              <w:rPr>
                <w:rFonts w:eastAsia="Times New Roman"/>
                <w:b/>
                <w:lang w:eastAsia="en-AU"/>
              </w:rPr>
              <w:t>Genetic modifications</w:t>
            </w:r>
            <w:r w:rsidRPr="006F488E">
              <w:rPr>
                <w:rFonts w:eastAsia="Times New Roman"/>
                <w:b/>
                <w:vertAlign w:val="superscript"/>
                <w:lang w:eastAsia="en-AU"/>
              </w:rPr>
              <w:footnoteReference w:id="1"/>
            </w:r>
          </w:p>
        </w:tc>
        <w:tc>
          <w:tcPr>
            <w:tcW w:w="7201" w:type="dxa"/>
            <w:tcBorders>
              <w:top w:val="single" w:sz="4" w:space="0" w:color="auto"/>
              <w:left w:val="single" w:sz="4" w:space="0" w:color="auto"/>
              <w:bottom w:val="single" w:sz="4" w:space="0" w:color="auto"/>
              <w:right w:val="single" w:sz="4" w:space="0" w:color="auto"/>
            </w:tcBorders>
          </w:tcPr>
          <w:p w14:paraId="06D31ECC" w14:textId="77777777" w:rsidR="006F488E" w:rsidRPr="006F488E" w:rsidRDefault="006F488E" w:rsidP="005D05F0">
            <w:pPr>
              <w:keepNext/>
              <w:numPr>
                <w:ilvl w:val="0"/>
                <w:numId w:val="6"/>
              </w:numPr>
              <w:tabs>
                <w:tab w:val="right" w:leader="dot" w:pos="9356"/>
              </w:tabs>
              <w:spacing w:after="40"/>
              <w:rPr>
                <w:rFonts w:eastAsia="Times New Roman" w:cs="Calibri"/>
                <w:iCs/>
                <w:szCs w:val="22"/>
                <w:lang w:eastAsia="en-AU"/>
              </w:rPr>
            </w:pPr>
            <w:r w:rsidRPr="006F488E">
              <w:rPr>
                <w:rFonts w:eastAsia="Times New Roman" w:cs="Calibri"/>
                <w:iCs/>
                <w:szCs w:val="22"/>
                <w:lang w:eastAsia="en-AU"/>
              </w:rPr>
              <w:t>Introduction of gene encoding human vasoactive intestinal peptide (VIP) to reduce inflammation</w:t>
            </w:r>
          </w:p>
        </w:tc>
      </w:tr>
      <w:tr w:rsidR="006F488E" w:rsidRPr="006F488E" w14:paraId="0E9E39B3" w14:textId="77777777" w:rsidTr="00323EE4">
        <w:tc>
          <w:tcPr>
            <w:tcW w:w="2405" w:type="dxa"/>
            <w:tcBorders>
              <w:top w:val="single" w:sz="4" w:space="0" w:color="auto"/>
              <w:left w:val="single" w:sz="4" w:space="0" w:color="auto"/>
              <w:bottom w:val="single" w:sz="4" w:space="0" w:color="auto"/>
              <w:right w:val="single" w:sz="4" w:space="0" w:color="auto"/>
            </w:tcBorders>
          </w:tcPr>
          <w:p w14:paraId="7F781CE1" w14:textId="77777777" w:rsidR="006F488E" w:rsidRPr="006F488E" w:rsidRDefault="006F488E" w:rsidP="006F488E">
            <w:pPr>
              <w:spacing w:before="60" w:after="60"/>
              <w:rPr>
                <w:rFonts w:eastAsia="Times New Roman"/>
                <w:b/>
                <w:color w:val="7030A0"/>
                <w:szCs w:val="22"/>
                <w:lang w:eastAsia="en-AU"/>
              </w:rPr>
            </w:pPr>
            <w:r w:rsidRPr="006F488E">
              <w:rPr>
                <w:rFonts w:eastAsia="Times New Roman"/>
                <w:b/>
                <w:szCs w:val="22"/>
                <w:lang w:eastAsia="en-AU"/>
              </w:rPr>
              <w:t>Principal purpose</w:t>
            </w:r>
          </w:p>
        </w:tc>
        <w:tc>
          <w:tcPr>
            <w:tcW w:w="7201" w:type="dxa"/>
            <w:tcBorders>
              <w:top w:val="single" w:sz="4" w:space="0" w:color="auto"/>
              <w:left w:val="single" w:sz="4" w:space="0" w:color="auto"/>
              <w:bottom w:val="single" w:sz="4" w:space="0" w:color="auto"/>
              <w:right w:val="single" w:sz="4" w:space="0" w:color="auto"/>
            </w:tcBorders>
          </w:tcPr>
          <w:p w14:paraId="3DF8D8B4" w14:textId="77777777" w:rsidR="006F488E" w:rsidRPr="006F488E" w:rsidRDefault="006F488E" w:rsidP="006F488E">
            <w:pPr>
              <w:keepNext/>
              <w:tabs>
                <w:tab w:val="right" w:leader="dot" w:pos="9356"/>
              </w:tabs>
              <w:spacing w:after="40"/>
              <w:rPr>
                <w:rFonts w:ascii="Times New Roman" w:eastAsia="Times New Roman" w:hAnsi="Times New Roman"/>
                <w:color w:val="7030A0"/>
                <w:szCs w:val="22"/>
                <w:lang w:eastAsia="en-AU"/>
              </w:rPr>
            </w:pPr>
            <w:bookmarkStart w:id="18" w:name="_Hlk138767407"/>
            <w:r w:rsidRPr="006F488E">
              <w:rPr>
                <w:rFonts w:eastAsia="Times New Roman" w:cs="Calibri"/>
                <w:iCs/>
                <w:szCs w:val="22"/>
                <w:lang w:eastAsia="en-AU"/>
              </w:rPr>
              <w:t>To assess the safety of single and multiple ascending doses of the GMO in healthy clinical trial participants</w:t>
            </w:r>
            <w:bookmarkEnd w:id="18"/>
          </w:p>
        </w:tc>
      </w:tr>
      <w:tr w:rsidR="006F488E" w:rsidRPr="006F488E" w14:paraId="0BEA7C4F" w14:textId="77777777" w:rsidTr="00323EE4">
        <w:tc>
          <w:tcPr>
            <w:tcW w:w="2405" w:type="dxa"/>
            <w:tcBorders>
              <w:top w:val="single" w:sz="4" w:space="0" w:color="auto"/>
              <w:left w:val="single" w:sz="4" w:space="0" w:color="auto"/>
              <w:bottom w:val="single" w:sz="4" w:space="0" w:color="auto"/>
              <w:right w:val="single" w:sz="4" w:space="0" w:color="auto"/>
            </w:tcBorders>
          </w:tcPr>
          <w:p w14:paraId="6718465E" w14:textId="77777777" w:rsidR="006F488E" w:rsidRPr="006F488E" w:rsidRDefault="006F488E" w:rsidP="006F488E">
            <w:pPr>
              <w:spacing w:before="60" w:after="60"/>
              <w:rPr>
                <w:rFonts w:eastAsia="Times New Roman"/>
                <w:szCs w:val="22"/>
                <w:lang w:eastAsia="en-AU"/>
              </w:rPr>
            </w:pPr>
            <w:r w:rsidRPr="006F488E">
              <w:rPr>
                <w:rFonts w:eastAsia="Times New Roman"/>
                <w:b/>
                <w:szCs w:val="22"/>
                <w:lang w:eastAsia="en-AU"/>
              </w:rPr>
              <w:t>Previous clinical trials</w:t>
            </w:r>
          </w:p>
        </w:tc>
        <w:tc>
          <w:tcPr>
            <w:tcW w:w="7201" w:type="dxa"/>
            <w:tcBorders>
              <w:top w:val="single" w:sz="4" w:space="0" w:color="auto"/>
              <w:left w:val="single" w:sz="4" w:space="0" w:color="auto"/>
              <w:bottom w:val="single" w:sz="4" w:space="0" w:color="auto"/>
              <w:right w:val="single" w:sz="4" w:space="0" w:color="auto"/>
            </w:tcBorders>
          </w:tcPr>
          <w:p w14:paraId="295062C9" w14:textId="77777777" w:rsidR="006F488E" w:rsidRPr="006F488E" w:rsidRDefault="006F488E" w:rsidP="006F488E">
            <w:pPr>
              <w:keepNext/>
              <w:widowControl w:val="0"/>
              <w:spacing w:before="60" w:after="100"/>
              <w:rPr>
                <w:rFonts w:eastAsia="Times New Roman" w:cs="Calibri"/>
                <w:szCs w:val="22"/>
                <w:lang w:eastAsia="en-AU"/>
              </w:rPr>
            </w:pPr>
            <w:r w:rsidRPr="006F488E">
              <w:rPr>
                <w:rFonts w:eastAsia="Times New Roman" w:cs="Calibri"/>
                <w:szCs w:val="22"/>
                <w:lang w:eastAsia="en-AU"/>
              </w:rPr>
              <w:t>None</w:t>
            </w:r>
          </w:p>
        </w:tc>
      </w:tr>
      <w:tr w:rsidR="006F488E" w:rsidRPr="006F488E" w14:paraId="14C7C686" w14:textId="77777777" w:rsidTr="00323EE4">
        <w:tc>
          <w:tcPr>
            <w:tcW w:w="9606" w:type="dxa"/>
            <w:gridSpan w:val="2"/>
            <w:tcBorders>
              <w:top w:val="single" w:sz="4" w:space="0" w:color="auto"/>
              <w:left w:val="single" w:sz="4" w:space="0" w:color="auto"/>
              <w:bottom w:val="single" w:sz="4" w:space="0" w:color="auto"/>
              <w:right w:val="single" w:sz="4" w:space="0" w:color="auto"/>
            </w:tcBorders>
          </w:tcPr>
          <w:p w14:paraId="3DAF9A85" w14:textId="77777777" w:rsidR="006F488E" w:rsidRPr="006F488E" w:rsidRDefault="006F488E" w:rsidP="006F488E">
            <w:pPr>
              <w:keepNext/>
              <w:widowControl w:val="0"/>
              <w:spacing w:before="60" w:after="100"/>
              <w:rPr>
                <w:rFonts w:eastAsia="Times New Roman" w:cs="Calibri"/>
                <w:b/>
                <w:bCs/>
                <w:szCs w:val="22"/>
                <w:lang w:eastAsia="en-AU"/>
              </w:rPr>
            </w:pPr>
            <w:r w:rsidRPr="006F488E">
              <w:rPr>
                <w:rFonts w:eastAsia="Times New Roman" w:cs="Calibri"/>
                <w:b/>
                <w:bCs/>
                <w:szCs w:val="22"/>
                <w:lang w:eastAsia="en-AU"/>
              </w:rPr>
              <w:lastRenderedPageBreak/>
              <w:t>Limits and controls</w:t>
            </w:r>
          </w:p>
        </w:tc>
      </w:tr>
      <w:tr w:rsidR="006F488E" w:rsidRPr="006F488E" w14:paraId="36AACFD7" w14:textId="77777777" w:rsidTr="00323EE4">
        <w:tc>
          <w:tcPr>
            <w:tcW w:w="2405" w:type="dxa"/>
            <w:tcBorders>
              <w:top w:val="single" w:sz="4" w:space="0" w:color="auto"/>
              <w:left w:val="single" w:sz="4" w:space="0" w:color="auto"/>
              <w:bottom w:val="single" w:sz="4" w:space="0" w:color="auto"/>
              <w:right w:val="single" w:sz="4" w:space="0" w:color="auto"/>
            </w:tcBorders>
          </w:tcPr>
          <w:p w14:paraId="4F17ACDD" w14:textId="77777777" w:rsidR="006F488E" w:rsidRPr="006F488E" w:rsidRDefault="006F488E" w:rsidP="006F488E">
            <w:pPr>
              <w:spacing w:before="60" w:after="60"/>
              <w:rPr>
                <w:rFonts w:eastAsia="Times New Roman"/>
                <w:bCs/>
                <w:lang w:eastAsia="en-AU"/>
              </w:rPr>
            </w:pPr>
            <w:r w:rsidRPr="006F488E">
              <w:rPr>
                <w:rFonts w:eastAsia="Times New Roman"/>
                <w:bCs/>
                <w:lang w:eastAsia="en-AU"/>
              </w:rPr>
              <w:t>Duration</w:t>
            </w:r>
          </w:p>
        </w:tc>
        <w:tc>
          <w:tcPr>
            <w:tcW w:w="7201" w:type="dxa"/>
            <w:tcBorders>
              <w:top w:val="single" w:sz="4" w:space="0" w:color="auto"/>
              <w:left w:val="single" w:sz="4" w:space="0" w:color="auto"/>
              <w:bottom w:val="single" w:sz="4" w:space="0" w:color="auto"/>
              <w:right w:val="single" w:sz="4" w:space="0" w:color="auto"/>
            </w:tcBorders>
          </w:tcPr>
          <w:p w14:paraId="5A4F7E3D" w14:textId="77777777" w:rsidR="006F488E" w:rsidRPr="006F488E" w:rsidRDefault="006F488E" w:rsidP="006F488E">
            <w:pPr>
              <w:spacing w:before="60" w:after="60"/>
              <w:rPr>
                <w:rFonts w:eastAsia="Times New Roman" w:cs="Calibri"/>
                <w:lang w:eastAsia="en-AU"/>
              </w:rPr>
            </w:pPr>
            <w:r w:rsidRPr="006F488E">
              <w:rPr>
                <w:rFonts w:eastAsia="Times New Roman" w:cs="Calibri"/>
                <w:lang w:eastAsia="en-AU"/>
              </w:rPr>
              <w:t>7 years</w:t>
            </w:r>
          </w:p>
        </w:tc>
      </w:tr>
      <w:tr w:rsidR="006F488E" w:rsidRPr="006F488E" w14:paraId="65BC8FA3" w14:textId="77777777" w:rsidTr="00323EE4">
        <w:tc>
          <w:tcPr>
            <w:tcW w:w="2405" w:type="dxa"/>
            <w:tcBorders>
              <w:top w:val="single" w:sz="4" w:space="0" w:color="auto"/>
              <w:left w:val="single" w:sz="4" w:space="0" w:color="auto"/>
              <w:bottom w:val="single" w:sz="4" w:space="0" w:color="auto"/>
              <w:right w:val="single" w:sz="4" w:space="0" w:color="auto"/>
            </w:tcBorders>
          </w:tcPr>
          <w:p w14:paraId="51F4313D" w14:textId="77777777" w:rsidR="006F488E" w:rsidRPr="006F488E" w:rsidRDefault="006F488E" w:rsidP="006F488E">
            <w:pPr>
              <w:spacing w:before="60" w:after="60"/>
              <w:rPr>
                <w:rFonts w:eastAsia="Times New Roman"/>
                <w:bCs/>
                <w:lang w:eastAsia="en-AU"/>
              </w:rPr>
            </w:pPr>
            <w:r w:rsidRPr="006F488E">
              <w:rPr>
                <w:rFonts w:eastAsia="Times New Roman"/>
                <w:bCs/>
                <w:lang w:eastAsia="en-AU"/>
              </w:rPr>
              <w:t>Release size</w:t>
            </w:r>
          </w:p>
        </w:tc>
        <w:tc>
          <w:tcPr>
            <w:tcW w:w="7201" w:type="dxa"/>
            <w:tcBorders>
              <w:top w:val="single" w:sz="4" w:space="0" w:color="auto"/>
              <w:left w:val="single" w:sz="4" w:space="0" w:color="auto"/>
              <w:bottom w:val="single" w:sz="4" w:space="0" w:color="auto"/>
              <w:right w:val="single" w:sz="4" w:space="0" w:color="auto"/>
            </w:tcBorders>
          </w:tcPr>
          <w:p w14:paraId="2011CB9A" w14:textId="77777777" w:rsidR="006F488E" w:rsidRPr="006F488E" w:rsidRDefault="006F488E" w:rsidP="006F488E">
            <w:pPr>
              <w:spacing w:before="60" w:after="60"/>
              <w:rPr>
                <w:rFonts w:eastAsia="Times New Roman" w:cs="Calibri"/>
                <w:lang w:eastAsia="en-AU"/>
              </w:rPr>
            </w:pPr>
            <w:r w:rsidRPr="006F488E">
              <w:rPr>
                <w:rFonts w:eastAsia="Times New Roman" w:cs="Calibri"/>
                <w:lang w:eastAsia="en-AU"/>
              </w:rPr>
              <w:t>Up to 28 trial participants will be treated with the GMO</w:t>
            </w:r>
          </w:p>
        </w:tc>
      </w:tr>
      <w:tr w:rsidR="006F488E" w:rsidRPr="006F488E" w14:paraId="0C8EC4A7" w14:textId="77777777" w:rsidTr="00323EE4">
        <w:tc>
          <w:tcPr>
            <w:tcW w:w="2405" w:type="dxa"/>
            <w:tcBorders>
              <w:top w:val="single" w:sz="4" w:space="0" w:color="auto"/>
              <w:left w:val="single" w:sz="4" w:space="0" w:color="auto"/>
              <w:bottom w:val="single" w:sz="4" w:space="0" w:color="auto"/>
              <w:right w:val="single" w:sz="4" w:space="0" w:color="auto"/>
            </w:tcBorders>
            <w:hideMark/>
          </w:tcPr>
          <w:p w14:paraId="0DDF3F01" w14:textId="77777777" w:rsidR="006F488E" w:rsidRPr="006F488E" w:rsidRDefault="006F488E" w:rsidP="006F488E">
            <w:pPr>
              <w:spacing w:before="60" w:after="60"/>
              <w:rPr>
                <w:rFonts w:eastAsia="Times New Roman"/>
                <w:bCs/>
                <w:lang w:eastAsia="en-AU"/>
              </w:rPr>
            </w:pPr>
            <w:r w:rsidRPr="006F488E">
              <w:rPr>
                <w:rFonts w:eastAsia="Times New Roman"/>
                <w:bCs/>
                <w:lang w:eastAsia="en-AU"/>
              </w:rPr>
              <w:t>Locations</w:t>
            </w:r>
          </w:p>
        </w:tc>
        <w:tc>
          <w:tcPr>
            <w:tcW w:w="7201" w:type="dxa"/>
            <w:tcBorders>
              <w:top w:val="single" w:sz="4" w:space="0" w:color="auto"/>
              <w:left w:val="single" w:sz="4" w:space="0" w:color="auto"/>
              <w:bottom w:val="single" w:sz="4" w:space="0" w:color="auto"/>
              <w:right w:val="single" w:sz="4" w:space="0" w:color="auto"/>
            </w:tcBorders>
          </w:tcPr>
          <w:p w14:paraId="4880B439" w14:textId="77777777" w:rsidR="006F488E" w:rsidRPr="006F488E" w:rsidRDefault="006F488E" w:rsidP="006F488E">
            <w:pPr>
              <w:spacing w:before="60" w:after="60"/>
              <w:rPr>
                <w:rFonts w:eastAsia="Times New Roman"/>
                <w:lang w:eastAsia="en-AU"/>
              </w:rPr>
            </w:pPr>
            <w:r w:rsidRPr="006F488E">
              <w:rPr>
                <w:rFonts w:eastAsia="Times New Roman" w:cs="Calibri"/>
                <w:lang w:eastAsia="en-AU"/>
              </w:rPr>
              <w:t>Medical facilities and the homes of clinical trial participants in Melbourne, Victoria</w:t>
            </w:r>
          </w:p>
        </w:tc>
      </w:tr>
      <w:tr w:rsidR="006F488E" w:rsidRPr="006F488E" w14:paraId="293B560A" w14:textId="77777777" w:rsidTr="00323EE4">
        <w:tc>
          <w:tcPr>
            <w:tcW w:w="2405" w:type="dxa"/>
            <w:tcBorders>
              <w:top w:val="single" w:sz="4" w:space="0" w:color="auto"/>
              <w:left w:val="single" w:sz="4" w:space="0" w:color="auto"/>
              <w:bottom w:val="single" w:sz="4" w:space="0" w:color="auto"/>
              <w:right w:val="single" w:sz="4" w:space="0" w:color="auto"/>
            </w:tcBorders>
            <w:hideMark/>
          </w:tcPr>
          <w:p w14:paraId="5C1AFB41" w14:textId="77777777" w:rsidR="006F488E" w:rsidRPr="006F488E" w:rsidRDefault="006F488E" w:rsidP="006F488E">
            <w:pPr>
              <w:spacing w:before="60" w:after="60"/>
              <w:rPr>
                <w:rFonts w:eastAsia="Times New Roman"/>
                <w:bCs/>
                <w:color w:val="7030A0"/>
                <w:lang w:eastAsia="en-AU"/>
              </w:rPr>
            </w:pPr>
            <w:r w:rsidRPr="006F488E">
              <w:rPr>
                <w:rFonts w:eastAsia="Times New Roman"/>
                <w:bCs/>
                <w:lang w:eastAsia="en-AU"/>
              </w:rPr>
              <w:t xml:space="preserve">Controls </w:t>
            </w:r>
          </w:p>
        </w:tc>
        <w:tc>
          <w:tcPr>
            <w:tcW w:w="7201" w:type="dxa"/>
            <w:tcBorders>
              <w:top w:val="single" w:sz="4" w:space="0" w:color="auto"/>
              <w:left w:val="single" w:sz="4" w:space="0" w:color="auto"/>
              <w:bottom w:val="single" w:sz="4" w:space="0" w:color="auto"/>
              <w:right w:val="single" w:sz="4" w:space="0" w:color="auto"/>
            </w:tcBorders>
          </w:tcPr>
          <w:p w14:paraId="1225DC7C" w14:textId="77777777" w:rsidR="006F488E" w:rsidRPr="006F488E" w:rsidRDefault="006F488E" w:rsidP="00DE1067">
            <w:pPr>
              <w:numPr>
                <w:ilvl w:val="0"/>
                <w:numId w:val="4"/>
              </w:numPr>
              <w:tabs>
                <w:tab w:val="left" w:pos="5670"/>
                <w:tab w:val="left" w:pos="6946"/>
                <w:tab w:val="left" w:pos="7655"/>
              </w:tabs>
              <w:spacing w:before="60" w:after="60"/>
              <w:ind w:left="357" w:hanging="357"/>
              <w:contextualSpacing/>
              <w:rPr>
                <w:rFonts w:eastAsia="Times New Roman" w:cs="Calibri"/>
                <w:szCs w:val="22"/>
                <w:lang w:eastAsia="en-AU"/>
              </w:rPr>
            </w:pPr>
            <w:r w:rsidRPr="006F488E">
              <w:rPr>
                <w:rFonts w:eastAsia="Times New Roman" w:cs="Calibri"/>
                <w:szCs w:val="22"/>
                <w:lang w:eastAsia="en-AU"/>
              </w:rPr>
              <w:t xml:space="preserve">importing the GMO in a form that is double packaged and ready for </w:t>
            </w:r>
            <w:proofErr w:type="gramStart"/>
            <w:r w:rsidRPr="006F488E">
              <w:rPr>
                <w:rFonts w:eastAsia="Times New Roman" w:cs="Calibri"/>
                <w:szCs w:val="22"/>
                <w:lang w:eastAsia="en-AU"/>
              </w:rPr>
              <w:t>administration</w:t>
            </w:r>
            <w:proofErr w:type="gramEnd"/>
          </w:p>
          <w:p w14:paraId="51883BCA" w14:textId="77777777" w:rsidR="006F488E" w:rsidRPr="006F488E" w:rsidRDefault="006F488E" w:rsidP="00DE1067">
            <w:pPr>
              <w:numPr>
                <w:ilvl w:val="0"/>
                <w:numId w:val="4"/>
              </w:numPr>
              <w:tabs>
                <w:tab w:val="left" w:pos="5670"/>
                <w:tab w:val="left" w:pos="6946"/>
                <w:tab w:val="left" w:pos="7655"/>
              </w:tabs>
              <w:spacing w:before="60" w:after="60"/>
              <w:ind w:left="357" w:hanging="357"/>
              <w:contextualSpacing/>
              <w:rPr>
                <w:rFonts w:eastAsia="Times New Roman" w:cs="Calibri"/>
                <w:szCs w:val="22"/>
                <w:lang w:eastAsia="en-AU"/>
              </w:rPr>
            </w:pPr>
            <w:r w:rsidRPr="006F488E">
              <w:rPr>
                <w:rFonts w:eastAsia="Times New Roman" w:cs="Calibri"/>
                <w:szCs w:val="22"/>
                <w:lang w:eastAsia="en-AU"/>
              </w:rPr>
              <w:t xml:space="preserve">tracking GMO doses dispensed to clinical trial participants and destroying any GMO doses that remain unused at the end of the </w:t>
            </w:r>
            <w:proofErr w:type="gramStart"/>
            <w:r w:rsidRPr="006F488E">
              <w:rPr>
                <w:rFonts w:eastAsia="Times New Roman" w:cs="Calibri"/>
                <w:szCs w:val="22"/>
                <w:lang w:eastAsia="en-AU"/>
              </w:rPr>
              <w:t>trial</w:t>
            </w:r>
            <w:proofErr w:type="gramEnd"/>
          </w:p>
          <w:p w14:paraId="726A9DCE" w14:textId="77777777" w:rsidR="006F488E" w:rsidRPr="006F488E" w:rsidRDefault="006F488E" w:rsidP="00DE1067">
            <w:pPr>
              <w:numPr>
                <w:ilvl w:val="0"/>
                <w:numId w:val="4"/>
              </w:numPr>
              <w:tabs>
                <w:tab w:val="left" w:pos="5670"/>
                <w:tab w:val="left" w:pos="6946"/>
                <w:tab w:val="left" w:pos="7655"/>
              </w:tabs>
              <w:spacing w:before="60" w:after="60"/>
              <w:ind w:left="357" w:hanging="357"/>
              <w:contextualSpacing/>
              <w:rPr>
                <w:rFonts w:eastAsia="Times New Roman" w:cs="Calibri"/>
                <w:szCs w:val="22"/>
                <w:lang w:eastAsia="en-AU"/>
              </w:rPr>
            </w:pPr>
            <w:r w:rsidRPr="006F488E">
              <w:rPr>
                <w:rFonts w:eastAsia="Times New Roman" w:cs="Calibri"/>
                <w:szCs w:val="22"/>
                <w:lang w:eastAsia="en-AU"/>
              </w:rPr>
              <w:t xml:space="preserve">issuing spill kits to trial participants to clean up any spill of GMO that occurs at </w:t>
            </w:r>
            <w:proofErr w:type="gramStart"/>
            <w:r w:rsidRPr="006F488E">
              <w:rPr>
                <w:rFonts w:eastAsia="Times New Roman" w:cs="Calibri"/>
                <w:szCs w:val="22"/>
                <w:lang w:eastAsia="en-AU"/>
              </w:rPr>
              <w:t>home</w:t>
            </w:r>
            <w:proofErr w:type="gramEnd"/>
          </w:p>
          <w:p w14:paraId="7F34D77A" w14:textId="77777777" w:rsidR="006F488E" w:rsidRPr="006F488E" w:rsidRDefault="006F488E" w:rsidP="00DE1067">
            <w:pPr>
              <w:numPr>
                <w:ilvl w:val="0"/>
                <w:numId w:val="4"/>
              </w:numPr>
              <w:tabs>
                <w:tab w:val="left" w:pos="5670"/>
                <w:tab w:val="left" w:pos="6946"/>
                <w:tab w:val="left" w:pos="7655"/>
              </w:tabs>
              <w:spacing w:before="60" w:after="60"/>
              <w:ind w:left="357" w:hanging="357"/>
              <w:contextualSpacing/>
              <w:rPr>
                <w:rFonts w:eastAsia="Times New Roman" w:cs="Calibri"/>
                <w:color w:val="7030A0"/>
                <w:szCs w:val="22"/>
                <w:lang w:eastAsia="en-AU"/>
              </w:rPr>
            </w:pPr>
            <w:r w:rsidRPr="006F488E">
              <w:rPr>
                <w:rFonts w:eastAsia="Times New Roman" w:cs="Calibri"/>
                <w:szCs w:val="22"/>
                <w:lang w:eastAsia="en-AU"/>
              </w:rPr>
              <w:t>instructing clinical trial participants in appropriate hygiene measures</w:t>
            </w:r>
          </w:p>
        </w:tc>
      </w:tr>
    </w:tbl>
    <w:p w14:paraId="646074B4" w14:textId="77777777" w:rsidR="006F488E" w:rsidRPr="006F488E" w:rsidRDefault="006F488E" w:rsidP="006F488E">
      <w:pPr>
        <w:keepNext/>
        <w:tabs>
          <w:tab w:val="left" w:pos="1418"/>
        </w:tabs>
        <w:spacing w:before="240" w:after="60"/>
        <w:outlineLvl w:val="1"/>
        <w:rPr>
          <w:rFonts w:eastAsia="Times New Roman"/>
          <w:b/>
          <w:i/>
          <w:sz w:val="28"/>
          <w:szCs w:val="28"/>
          <w:lang w:eastAsia="en-AU"/>
        </w:rPr>
      </w:pPr>
      <w:bookmarkStart w:id="19" w:name="_Toc342042136"/>
      <w:bookmarkStart w:id="20" w:name="_Toc47536736"/>
      <w:bookmarkStart w:id="21" w:name="_Toc146275866"/>
      <w:r w:rsidRPr="006F488E">
        <w:rPr>
          <w:rFonts w:eastAsia="Times New Roman"/>
          <w:b/>
          <w:i/>
          <w:sz w:val="28"/>
          <w:szCs w:val="28"/>
          <w:lang w:eastAsia="en-AU"/>
        </w:rPr>
        <w:t>Risk assessment</w:t>
      </w:r>
      <w:bookmarkEnd w:id="14"/>
      <w:bookmarkEnd w:id="15"/>
      <w:bookmarkEnd w:id="16"/>
      <w:bookmarkEnd w:id="19"/>
      <w:bookmarkEnd w:id="20"/>
      <w:bookmarkEnd w:id="21"/>
    </w:p>
    <w:p w14:paraId="636A0AA2" w14:textId="77777777" w:rsidR="006F488E" w:rsidRPr="006F488E" w:rsidRDefault="006F488E" w:rsidP="006F488E">
      <w:pPr>
        <w:spacing w:before="120" w:after="120"/>
        <w:rPr>
          <w:rFonts w:eastAsia="Times New Roman"/>
          <w:bCs/>
          <w:lang w:eastAsia="en-AU"/>
        </w:rPr>
      </w:pPr>
      <w:r w:rsidRPr="006F488E">
        <w:rPr>
          <w:rFonts w:eastAsia="Times New Roman"/>
          <w:lang w:eastAsia="en-AU"/>
        </w:rPr>
        <w:t xml:space="preserve">The risk assessment concludes that the proposed clinical trial poses negligible to moderate risks to human health and safety and the environment. Specific risk treatment measures are included in the licence to manage these risks. </w:t>
      </w:r>
    </w:p>
    <w:p w14:paraId="7626E29B" w14:textId="77777777" w:rsidR="006F488E" w:rsidRPr="006F488E" w:rsidRDefault="006F488E" w:rsidP="005E548A">
      <w:pPr>
        <w:spacing w:before="120" w:after="120"/>
        <w:rPr>
          <w:rFonts w:eastAsia="Times New Roman"/>
          <w:color w:val="7030A0"/>
          <w:lang w:eastAsia="en-AU"/>
        </w:rPr>
      </w:pPr>
      <w:r w:rsidRPr="006F488E">
        <w:rPr>
          <w:rFonts w:eastAsia="Times New Roman"/>
          <w:lang w:eastAsia="en-AU"/>
        </w:rPr>
        <w:t xml:space="preserve">The risk assessment process considers how the genetic modifications and proposed activities conducted with the GMO might lead to harm to people or the environment. Risks are characterised in relation to both the seriousness and likelihood of harm, </w:t>
      </w:r>
      <w:proofErr w:type="gramStart"/>
      <w:r w:rsidRPr="006F488E">
        <w:rPr>
          <w:rFonts w:eastAsia="Times New Roman"/>
          <w:lang w:eastAsia="en-AU"/>
        </w:rPr>
        <w:t>taking into account</w:t>
      </w:r>
      <w:proofErr w:type="gramEnd"/>
      <w:r w:rsidRPr="006F488E">
        <w:rPr>
          <w:rFonts w:eastAsia="Times New Roman"/>
          <w:lang w:eastAsia="en-AU"/>
        </w:rPr>
        <w:t xml:space="preserve"> information in the application (including proposed controls), relevant previous approvals and current scientific/technical knowledge. Both the short- and long-term impact are considered.</w:t>
      </w:r>
    </w:p>
    <w:p w14:paraId="4CD05AE1" w14:textId="77777777" w:rsidR="006F488E" w:rsidRPr="006F488E" w:rsidRDefault="006F488E" w:rsidP="005E548A">
      <w:pPr>
        <w:spacing w:before="120" w:after="120"/>
        <w:rPr>
          <w:rFonts w:eastAsia="Times New Roman"/>
          <w:lang w:eastAsia="en-AU"/>
        </w:rPr>
      </w:pPr>
      <w:r w:rsidRPr="006F488E">
        <w:rPr>
          <w:rFonts w:eastAsia="Times New Roman" w:cs="Calibri"/>
          <w:szCs w:val="22"/>
          <w:lang w:eastAsia="en-AU"/>
        </w:rPr>
        <w:t xml:space="preserve">Credible pathways to potential harm that were considered include potential exposure to the GMO through accidental ingestion or through shedding from trial participants; the potential for the introduced gene to be transferred to other bacteria; and the potential for the GMO to spread in the environment and enter food and feed. </w:t>
      </w:r>
    </w:p>
    <w:p w14:paraId="703B4C44" w14:textId="77777777" w:rsidR="006F488E" w:rsidRPr="006F488E" w:rsidRDefault="006F488E" w:rsidP="006F488E">
      <w:pPr>
        <w:spacing w:before="120" w:after="120"/>
        <w:rPr>
          <w:rFonts w:eastAsia="Times New Roman" w:cs="Calibri"/>
          <w:szCs w:val="22"/>
          <w:highlight w:val="yellow"/>
          <w:lang w:eastAsia="en-AU"/>
        </w:rPr>
      </w:pPr>
      <w:r w:rsidRPr="006F488E">
        <w:rPr>
          <w:rFonts w:eastAsia="Times New Roman" w:cs="Calibri"/>
          <w:szCs w:val="22"/>
          <w:lang w:eastAsia="en-AU"/>
        </w:rPr>
        <w:t xml:space="preserve">Important factors in reaching the conclusions of the risk assessment included: </w:t>
      </w:r>
    </w:p>
    <w:p w14:paraId="2DE9C770" w14:textId="77777777" w:rsidR="006F488E" w:rsidRPr="006F488E" w:rsidRDefault="006F488E" w:rsidP="006F488E">
      <w:pPr>
        <w:numPr>
          <w:ilvl w:val="0"/>
          <w:numId w:val="5"/>
        </w:numPr>
        <w:spacing w:before="120" w:after="120"/>
        <w:rPr>
          <w:rFonts w:eastAsia="Times New Roman"/>
          <w:lang w:eastAsia="en-AU"/>
        </w:rPr>
      </w:pPr>
      <w:r w:rsidRPr="006F488E">
        <w:rPr>
          <w:rFonts w:eastAsia="Times New Roman"/>
          <w:lang w:eastAsia="en-AU"/>
        </w:rPr>
        <w:t xml:space="preserve">the GMO is not expected to colonise human or animal </w:t>
      </w:r>
      <w:proofErr w:type="gramStart"/>
      <w:r w:rsidRPr="006F488E">
        <w:rPr>
          <w:rFonts w:eastAsia="Times New Roman"/>
          <w:lang w:eastAsia="en-AU"/>
        </w:rPr>
        <w:t>guts;</w:t>
      </w:r>
      <w:proofErr w:type="gramEnd"/>
    </w:p>
    <w:p w14:paraId="7C94DB8A" w14:textId="77777777" w:rsidR="006F488E" w:rsidRPr="006F488E" w:rsidRDefault="006F488E" w:rsidP="006F488E">
      <w:pPr>
        <w:numPr>
          <w:ilvl w:val="0"/>
          <w:numId w:val="5"/>
        </w:numPr>
        <w:spacing w:before="120" w:after="120"/>
        <w:rPr>
          <w:rFonts w:eastAsia="Times New Roman"/>
          <w:lang w:eastAsia="en-AU"/>
        </w:rPr>
      </w:pPr>
      <w:r w:rsidRPr="006F488E">
        <w:rPr>
          <w:rFonts w:eastAsia="Times New Roman"/>
          <w:lang w:eastAsia="en-AU"/>
        </w:rPr>
        <w:t xml:space="preserve">the small scale of the clinical trial minimises the likelihood of horizontal gene transfer </w:t>
      </w:r>
      <w:proofErr w:type="gramStart"/>
      <w:r w:rsidRPr="006F488E">
        <w:rPr>
          <w:rFonts w:eastAsia="Times New Roman"/>
          <w:lang w:eastAsia="en-AU"/>
        </w:rPr>
        <w:t>events;</w:t>
      </w:r>
      <w:proofErr w:type="gramEnd"/>
    </w:p>
    <w:p w14:paraId="75B744C0" w14:textId="77777777" w:rsidR="006F488E" w:rsidRPr="006F488E" w:rsidRDefault="006F488E" w:rsidP="006F488E">
      <w:pPr>
        <w:numPr>
          <w:ilvl w:val="0"/>
          <w:numId w:val="5"/>
        </w:numPr>
        <w:spacing w:before="120" w:after="120"/>
        <w:rPr>
          <w:rFonts w:eastAsia="Times New Roman"/>
          <w:lang w:eastAsia="en-AU"/>
        </w:rPr>
      </w:pPr>
      <w:r w:rsidRPr="006F488E">
        <w:rPr>
          <w:rFonts w:eastAsia="Times New Roman"/>
          <w:lang w:eastAsia="en-AU"/>
        </w:rPr>
        <w:t xml:space="preserve">there are plausible pathways for release of the GMO into the outdoor </w:t>
      </w:r>
      <w:proofErr w:type="gramStart"/>
      <w:r w:rsidRPr="006F488E">
        <w:rPr>
          <w:rFonts w:eastAsia="Times New Roman"/>
          <w:lang w:eastAsia="en-AU"/>
        </w:rPr>
        <w:t>environment;</w:t>
      </w:r>
      <w:proofErr w:type="gramEnd"/>
    </w:p>
    <w:p w14:paraId="12D57144" w14:textId="77777777" w:rsidR="006F488E" w:rsidRPr="006F488E" w:rsidRDefault="006F488E" w:rsidP="006F488E">
      <w:pPr>
        <w:numPr>
          <w:ilvl w:val="0"/>
          <w:numId w:val="5"/>
        </w:numPr>
        <w:spacing w:before="120" w:after="120"/>
        <w:rPr>
          <w:rFonts w:eastAsia="Times New Roman"/>
          <w:lang w:eastAsia="en-AU"/>
        </w:rPr>
      </w:pPr>
      <w:r w:rsidRPr="006F488E">
        <w:rPr>
          <w:rFonts w:eastAsia="Times New Roman"/>
          <w:lang w:eastAsia="en-AU"/>
        </w:rPr>
        <w:t xml:space="preserve">there is uncertainty regarding the ability of the GMO to establish and spread in the </w:t>
      </w:r>
      <w:proofErr w:type="gramStart"/>
      <w:r w:rsidRPr="006F488E">
        <w:rPr>
          <w:rFonts w:eastAsia="Times New Roman"/>
          <w:lang w:eastAsia="en-AU"/>
        </w:rPr>
        <w:t>environment;</w:t>
      </w:r>
      <w:proofErr w:type="gramEnd"/>
    </w:p>
    <w:p w14:paraId="2166E664" w14:textId="77777777" w:rsidR="006F488E" w:rsidRPr="006F488E" w:rsidRDefault="006F488E" w:rsidP="006F488E">
      <w:pPr>
        <w:numPr>
          <w:ilvl w:val="0"/>
          <w:numId w:val="5"/>
        </w:numPr>
        <w:spacing w:before="120" w:after="120"/>
        <w:rPr>
          <w:rFonts w:eastAsia="Times New Roman" w:cs="Calibri"/>
          <w:lang w:eastAsia="en-AU"/>
        </w:rPr>
      </w:pPr>
      <w:r w:rsidRPr="006F488E">
        <w:rPr>
          <w:rFonts w:eastAsia="Times New Roman" w:cs="Calibri"/>
          <w:lang w:eastAsia="en-AU"/>
        </w:rPr>
        <w:t xml:space="preserve">VIP </w:t>
      </w:r>
      <w:proofErr w:type="gramStart"/>
      <w:r w:rsidRPr="006F488E">
        <w:rPr>
          <w:rFonts w:eastAsia="Times New Roman" w:cs="Calibri"/>
          <w:lang w:eastAsia="en-AU"/>
        </w:rPr>
        <w:t>is capable of causing</w:t>
      </w:r>
      <w:proofErr w:type="gramEnd"/>
      <w:r w:rsidRPr="006F488E">
        <w:rPr>
          <w:rFonts w:eastAsia="Times New Roman" w:cs="Calibri"/>
          <w:lang w:eastAsia="en-AU"/>
        </w:rPr>
        <w:t xml:space="preserve"> adverse health effects at sufficiently high levels of exposure.</w:t>
      </w:r>
    </w:p>
    <w:p w14:paraId="03A15602" w14:textId="77777777" w:rsidR="006F488E" w:rsidRPr="006F488E" w:rsidRDefault="006F488E" w:rsidP="006F488E">
      <w:pPr>
        <w:keepNext/>
        <w:tabs>
          <w:tab w:val="left" w:pos="1418"/>
        </w:tabs>
        <w:spacing w:before="240" w:after="60"/>
        <w:outlineLvl w:val="1"/>
        <w:rPr>
          <w:rFonts w:eastAsia="Times New Roman"/>
          <w:b/>
          <w:i/>
          <w:sz w:val="28"/>
          <w:szCs w:val="28"/>
          <w:lang w:eastAsia="en-AU"/>
        </w:rPr>
      </w:pPr>
      <w:bookmarkStart w:id="22" w:name="_Toc47536737"/>
      <w:bookmarkStart w:id="23" w:name="_Toc146275867"/>
      <w:r w:rsidRPr="006F488E">
        <w:rPr>
          <w:rFonts w:eastAsia="Times New Roman"/>
          <w:b/>
          <w:i/>
          <w:sz w:val="28"/>
          <w:szCs w:val="28"/>
          <w:lang w:eastAsia="en-AU"/>
        </w:rPr>
        <w:t>Risk ma</w:t>
      </w:r>
      <w:bookmarkStart w:id="24" w:name="_Toc209859549"/>
      <w:bookmarkStart w:id="25" w:name="_Toc342042137"/>
      <w:bookmarkStart w:id="26" w:name="_Toc291151778"/>
      <w:bookmarkStart w:id="27" w:name="_Toc274904728"/>
      <w:r w:rsidRPr="006F488E">
        <w:rPr>
          <w:rFonts w:eastAsia="Times New Roman"/>
          <w:b/>
          <w:i/>
          <w:sz w:val="28"/>
          <w:szCs w:val="28"/>
          <w:lang w:eastAsia="en-AU"/>
        </w:rPr>
        <w:t>nagement</w:t>
      </w:r>
      <w:bookmarkEnd w:id="22"/>
      <w:bookmarkEnd w:id="23"/>
      <w:bookmarkEnd w:id="24"/>
      <w:bookmarkEnd w:id="25"/>
      <w:bookmarkEnd w:id="26"/>
      <w:bookmarkEnd w:id="27"/>
    </w:p>
    <w:p w14:paraId="5F6D4FBC" w14:textId="77777777" w:rsidR="006F488E" w:rsidRPr="006F488E" w:rsidRDefault="006F488E" w:rsidP="003C0E7B">
      <w:pPr>
        <w:spacing w:before="120" w:after="120"/>
        <w:rPr>
          <w:rFonts w:eastAsia="SimSun"/>
          <w:szCs w:val="22"/>
          <w:lang w:eastAsia="en-AU"/>
        </w:rPr>
      </w:pPr>
      <w:r w:rsidRPr="006F488E">
        <w:rPr>
          <w:rFonts w:eastAsia="SimSun"/>
          <w:szCs w:val="22"/>
          <w:lang w:eastAsia="en-AU"/>
        </w:rPr>
        <w:t>The risk management plan describes measures to protect the health and safety of people and to protect the environment by controlling or mitigating risk. The risk management plan is given effect through licence conditions.</w:t>
      </w:r>
    </w:p>
    <w:p w14:paraId="7F98C44C" w14:textId="77777777" w:rsidR="006F488E" w:rsidRPr="006F488E" w:rsidRDefault="006F488E" w:rsidP="003C0E7B">
      <w:pPr>
        <w:spacing w:before="120" w:after="120"/>
        <w:rPr>
          <w:rFonts w:eastAsia="SimSun"/>
          <w:szCs w:val="22"/>
          <w:lang w:eastAsia="en-AU"/>
        </w:rPr>
      </w:pPr>
      <w:r w:rsidRPr="006F488E">
        <w:rPr>
          <w:rFonts w:eastAsia="SimSun"/>
          <w:szCs w:val="22"/>
          <w:lang w:eastAsia="en-AU"/>
        </w:rPr>
        <w:t xml:space="preserve">The risk management plan concludes that the identified negligible to moderate risks can be managed to protect the health and safety of people and the environment by imposing specific risk treatment measures. </w:t>
      </w:r>
      <w:proofErr w:type="gramStart"/>
      <w:r w:rsidRPr="006F488E">
        <w:rPr>
          <w:rFonts w:eastAsia="SimSun"/>
          <w:szCs w:val="22"/>
          <w:lang w:eastAsia="en-AU"/>
        </w:rPr>
        <w:t>A number of</w:t>
      </w:r>
      <w:proofErr w:type="gramEnd"/>
      <w:r w:rsidRPr="006F488E">
        <w:rPr>
          <w:rFonts w:eastAsia="SimSun"/>
          <w:szCs w:val="22"/>
          <w:lang w:eastAsia="en-AU"/>
        </w:rPr>
        <w:t xml:space="preserve"> licence conditions are imposed to restrict release of the GMO into the outdoor environment.</w:t>
      </w:r>
    </w:p>
    <w:p w14:paraId="67386805" w14:textId="22AF921F" w:rsidR="001D2F5F" w:rsidRPr="006F488E" w:rsidRDefault="006F488E" w:rsidP="003C0E7B">
      <w:pPr>
        <w:spacing w:before="120" w:after="120"/>
      </w:pPr>
      <w:r w:rsidRPr="006F488E">
        <w:rPr>
          <w:rFonts w:eastAsia="SimSun"/>
          <w:szCs w:val="22"/>
          <w:lang w:eastAsia="en-AU"/>
        </w:rPr>
        <w:t xml:space="preserve">The licence includes limits on the number of trial participants and duration of the trial, as well as a range of controls to minimise the potential for the GMO to spread in the environment. In addition, there are several general conditions relating to ongoing licence holder suitability, </w:t>
      </w:r>
      <w:proofErr w:type="gramStart"/>
      <w:r w:rsidRPr="006F488E">
        <w:rPr>
          <w:rFonts w:eastAsia="SimSun"/>
          <w:szCs w:val="22"/>
          <w:lang w:eastAsia="en-AU"/>
        </w:rPr>
        <w:t>auditing</w:t>
      </w:r>
      <w:proofErr w:type="gramEnd"/>
      <w:r w:rsidRPr="006F488E">
        <w:rPr>
          <w:rFonts w:eastAsia="SimSun"/>
          <w:szCs w:val="22"/>
          <w:lang w:eastAsia="en-AU"/>
        </w:rPr>
        <w:t xml:space="preserve"> and monitoring, and reporting requirements which include an obligation to report any unintended effects.</w:t>
      </w:r>
    </w:p>
    <w:sectPr w:rsidR="001D2F5F" w:rsidRPr="006F488E" w:rsidSect="001D2F5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C589" w14:textId="77777777" w:rsidR="00CD7529" w:rsidRDefault="00CD7529" w:rsidP="001D2F5F">
      <w:r>
        <w:separator/>
      </w:r>
    </w:p>
  </w:endnote>
  <w:endnote w:type="continuationSeparator" w:id="0">
    <w:p w14:paraId="2F42C756" w14:textId="77777777" w:rsidR="00CD7529" w:rsidRDefault="00CD7529" w:rsidP="001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9A4A" w14:textId="77777777" w:rsidR="00F97922" w:rsidRDefault="00F97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729A" w14:textId="101BA1F8" w:rsidR="001D2F5F" w:rsidRPr="006F488E" w:rsidRDefault="001D2F5F" w:rsidP="001D2F5F">
    <w:pPr>
      <w:pBdr>
        <w:top w:val="single" w:sz="4" w:space="1" w:color="auto"/>
      </w:pBdr>
      <w:jc w:val="center"/>
      <w:rPr>
        <w:rFonts w:cs="Calibri"/>
        <w:sz w:val="20"/>
        <w:szCs w:val="22"/>
      </w:rPr>
    </w:pPr>
    <w:r w:rsidRPr="006F488E">
      <w:rPr>
        <w:rFonts w:cs="Calibri"/>
        <w:sz w:val="20"/>
        <w:szCs w:val="22"/>
      </w:rPr>
      <w:t>Address: MDP 54 GPO Box 9848, Canberra ACT 2601</w:t>
    </w:r>
    <w:r w:rsidRPr="006F488E">
      <w:rPr>
        <w:rFonts w:cs="Calibri"/>
        <w:sz w:val="20"/>
        <w:szCs w:val="22"/>
      </w:rPr>
      <w:tab/>
      <w:t>Website: www.ogtr.gov.au</w:t>
    </w:r>
  </w:p>
  <w:p w14:paraId="1AF446CD" w14:textId="0AF2B608" w:rsidR="001D2F5F" w:rsidRPr="006F488E" w:rsidRDefault="001D2F5F" w:rsidP="001D2F5F">
    <w:pPr>
      <w:jc w:val="center"/>
      <w:rPr>
        <w:rFonts w:cs="Calibri"/>
      </w:rPr>
    </w:pPr>
    <w:r w:rsidRPr="006F488E">
      <w:rPr>
        <w:rFonts w:cs="Calibri"/>
        <w:sz w:val="20"/>
        <w:szCs w:val="22"/>
      </w:rPr>
      <w:t>Telephone: 1800 181 030</w:t>
    </w:r>
    <w:r w:rsidRPr="006F488E">
      <w:rPr>
        <w:rFonts w:cs="Calibri"/>
        <w:sz w:val="20"/>
        <w:szCs w:val="22"/>
      </w:rPr>
      <w:tab/>
      <w:t>Email: ogtr@health.gov.au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7337" w14:textId="77777777" w:rsidR="00F97922" w:rsidRDefault="00F97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29E2" w14:textId="77777777" w:rsidR="00CD7529" w:rsidRDefault="00CD7529" w:rsidP="001D2F5F">
      <w:r>
        <w:separator/>
      </w:r>
    </w:p>
  </w:footnote>
  <w:footnote w:type="continuationSeparator" w:id="0">
    <w:p w14:paraId="20364236" w14:textId="77777777" w:rsidR="00CD7529" w:rsidRDefault="00CD7529" w:rsidP="001D2F5F">
      <w:r>
        <w:continuationSeparator/>
      </w:r>
    </w:p>
  </w:footnote>
  <w:footnote w:id="1">
    <w:p w14:paraId="44856223" w14:textId="77777777" w:rsidR="006F488E" w:rsidRDefault="006F488E" w:rsidP="006F488E">
      <w:pPr>
        <w:pStyle w:val="FootnoteText"/>
      </w:pPr>
      <w:r w:rsidRPr="006F488E">
        <w:rPr>
          <w:rStyle w:val="FootnoteReference"/>
        </w:rPr>
        <w:footnoteRef/>
      </w:r>
      <w:r>
        <w:t xml:space="preserve"> Information about genetic modifications other than the introduction of the VIP gene</w:t>
      </w:r>
      <w:r w:rsidRPr="00D245F1">
        <w:t xml:space="preserve"> </w:t>
      </w:r>
      <w:r>
        <w:t>is protected as</w:t>
      </w:r>
      <w:r w:rsidRPr="00D245F1">
        <w:t xml:space="preserve"> Confidential Commercial Information (CCI). Under Section 185 of the Act, the confidential information </w:t>
      </w:r>
      <w:r>
        <w:t>was</w:t>
      </w:r>
      <w:r w:rsidRPr="00D245F1">
        <w:t xml:space="preserve"> made available to the prescribed experts and agencies that </w:t>
      </w:r>
      <w:r>
        <w:t>were</w:t>
      </w:r>
      <w:r w:rsidRPr="00D245F1">
        <w:t xml:space="preserve"> consulted on the RARMP for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EA2" w14:textId="77777777" w:rsidR="00F97922" w:rsidRDefault="00F97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E70B" w14:textId="77777777" w:rsidR="00F97922" w:rsidRDefault="00F97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F0E7" w14:textId="5EF72A32" w:rsidR="00053BE3" w:rsidRDefault="00053BE3">
    <w:pPr>
      <w:pStyle w:val="Header"/>
    </w:pPr>
    <w:r>
      <w:rPr>
        <w:noProof/>
      </w:rPr>
      <w:drawing>
        <wp:inline distT="0" distB="0" distL="0" distR="0" wp14:anchorId="0FCBE438" wp14:editId="7EA768DC">
          <wp:extent cx="3348000" cy="767451"/>
          <wp:effectExtent l="0" t="0" r="5080" b="0"/>
          <wp:docPr id="9" name="Picture 9"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48000" cy="767451"/>
                  </a:xfrm>
                  <a:prstGeom prst="rect">
                    <a:avLst/>
                  </a:prstGeom>
                </pic:spPr>
              </pic:pic>
            </a:graphicData>
          </a:graphic>
        </wp:inline>
      </w:drawing>
    </w:r>
  </w:p>
  <w:p w14:paraId="4B1A99EE" w14:textId="01F62419" w:rsidR="005E0CC7" w:rsidRDefault="00FA28B9" w:rsidP="005E0CC7">
    <w:pPr>
      <w:pStyle w:val="Header"/>
      <w:jc w:val="right"/>
    </w:pPr>
    <w:r>
      <w:t>September</w:t>
    </w:r>
    <w:r w:rsidR="005E0CC7" w:rsidRPr="005E0CC7">
      <w:t xml:space="preserve"> 202</w:t>
    </w:r>
    <w:r w:rsidR="0018256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8831F4"/>
    <w:multiLevelType w:val="hybridMultilevel"/>
    <w:tmpl w:val="0432754C"/>
    <w:lvl w:ilvl="0" w:tplc="7E7CE20A">
      <w:start w:val="1"/>
      <w:numFmt w:val="bullet"/>
      <w:lvlText w:val=""/>
      <w:lvlJc w:val="left"/>
      <w:pPr>
        <w:ind w:left="357"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547FF"/>
    <w:multiLevelType w:val="hybridMultilevel"/>
    <w:tmpl w:val="F648C666"/>
    <w:lvl w:ilvl="0" w:tplc="EA127D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5993928">
    <w:abstractNumId w:val="1"/>
  </w:num>
  <w:num w:numId="2" w16cid:durableId="593826937">
    <w:abstractNumId w:val="4"/>
  </w:num>
  <w:num w:numId="3" w16cid:durableId="396050053">
    <w:abstractNumId w:val="0"/>
  </w:num>
  <w:num w:numId="4" w16cid:durableId="1580677323">
    <w:abstractNumId w:val="5"/>
  </w:num>
  <w:num w:numId="5" w16cid:durableId="252474192">
    <w:abstractNumId w:val="3"/>
  </w:num>
  <w:num w:numId="6" w16cid:durableId="171146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5F"/>
    <w:rsid w:val="00053BE3"/>
    <w:rsid w:val="000D26D9"/>
    <w:rsid w:val="00182564"/>
    <w:rsid w:val="001849A8"/>
    <w:rsid w:val="001D2F5F"/>
    <w:rsid w:val="002A29DD"/>
    <w:rsid w:val="003A4467"/>
    <w:rsid w:val="003C0E7B"/>
    <w:rsid w:val="004A213D"/>
    <w:rsid w:val="004B0C64"/>
    <w:rsid w:val="005D05F0"/>
    <w:rsid w:val="005E0CC7"/>
    <w:rsid w:val="005E548A"/>
    <w:rsid w:val="00645ADE"/>
    <w:rsid w:val="006F488E"/>
    <w:rsid w:val="007E688F"/>
    <w:rsid w:val="00916AD9"/>
    <w:rsid w:val="009A69F0"/>
    <w:rsid w:val="00A71BD1"/>
    <w:rsid w:val="00CD7529"/>
    <w:rsid w:val="00DE1067"/>
    <w:rsid w:val="00E55963"/>
    <w:rsid w:val="00F97922"/>
    <w:rsid w:val="00FA2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C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2F5F"/>
    <w:pPr>
      <w:spacing w:after="0" w:line="240" w:lineRule="auto"/>
    </w:pPr>
    <w:rPr>
      <w:rFonts w:ascii="Calibri" w:eastAsiaTheme="minorEastAsia" w:hAnsi="Calibri" w:cs="Times New Roman"/>
      <w:szCs w:val="24"/>
    </w:rPr>
  </w:style>
  <w:style w:type="paragraph" w:styleId="Heading1">
    <w:name w:val="heading 1"/>
    <w:basedOn w:val="Normal"/>
    <w:next w:val="Normal"/>
    <w:link w:val="Heading1Char"/>
    <w:qFormat/>
    <w:rsid w:val="001D2F5F"/>
    <w:pPr>
      <w:keepNext/>
      <w:spacing w:before="240" w:after="60"/>
      <w:outlineLvl w:val="0"/>
    </w:pPr>
    <w:rPr>
      <w:rFonts w:cs="Arial"/>
      <w:b/>
      <w:bCs/>
      <w:kern w:val="28"/>
      <w:sz w:val="36"/>
      <w:szCs w:val="32"/>
    </w:rPr>
  </w:style>
  <w:style w:type="paragraph" w:styleId="Heading2">
    <w:name w:val="heading 2"/>
    <w:basedOn w:val="Normal"/>
    <w:next w:val="Normal"/>
    <w:link w:val="Heading2Char"/>
    <w:uiPriority w:val="9"/>
    <w:semiHidden/>
    <w:unhideWhenUsed/>
    <w:qFormat/>
    <w:rsid w:val="00053B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F5F"/>
    <w:rPr>
      <w:rFonts w:ascii="Calibri" w:eastAsiaTheme="minorEastAsia" w:hAnsi="Calibri" w:cs="Arial"/>
      <w:b/>
      <w:bCs/>
      <w:kern w:val="28"/>
      <w:sz w:val="36"/>
      <w:szCs w:val="32"/>
    </w:rPr>
  </w:style>
  <w:style w:type="paragraph" w:customStyle="1" w:styleId="RIGHTLIST">
    <w:name w:val="RIGHTLIST"/>
    <w:basedOn w:val="Normal"/>
    <w:rsid w:val="001D2F5F"/>
    <w:pPr>
      <w:keepNext/>
      <w:tabs>
        <w:tab w:val="right" w:leader="dot" w:pos="9356"/>
      </w:tabs>
      <w:spacing w:before="80" w:after="40"/>
    </w:pPr>
    <w:rPr>
      <w:rFonts w:ascii="Times New Roman" w:eastAsia="Times New Roman" w:hAnsi="Times New Roman"/>
      <w:szCs w:val="22"/>
      <w:lang w:eastAsia="en-AU"/>
    </w:rPr>
  </w:style>
  <w:style w:type="paragraph" w:customStyle="1" w:styleId="LEFTLIST">
    <w:name w:val="LEFTLIST"/>
    <w:basedOn w:val="Heading1"/>
    <w:rsid w:val="001D2F5F"/>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styleId="Header">
    <w:name w:val="header"/>
    <w:basedOn w:val="Normal"/>
    <w:link w:val="HeaderChar"/>
    <w:uiPriority w:val="99"/>
    <w:unhideWhenUsed/>
    <w:rsid w:val="001D2F5F"/>
    <w:pPr>
      <w:tabs>
        <w:tab w:val="center" w:pos="4513"/>
        <w:tab w:val="right" w:pos="9026"/>
      </w:tabs>
    </w:pPr>
  </w:style>
  <w:style w:type="character" w:customStyle="1" w:styleId="HeaderChar">
    <w:name w:val="Header Char"/>
    <w:basedOn w:val="DefaultParagraphFont"/>
    <w:link w:val="Header"/>
    <w:uiPriority w:val="99"/>
    <w:rsid w:val="001D2F5F"/>
    <w:rPr>
      <w:rFonts w:ascii="Calibri" w:eastAsiaTheme="minorEastAsia" w:hAnsi="Calibri" w:cs="Times New Roman"/>
      <w:szCs w:val="24"/>
    </w:rPr>
  </w:style>
  <w:style w:type="paragraph" w:styleId="Footer">
    <w:name w:val="footer"/>
    <w:basedOn w:val="Normal"/>
    <w:link w:val="FooterChar"/>
    <w:uiPriority w:val="99"/>
    <w:unhideWhenUsed/>
    <w:rsid w:val="001D2F5F"/>
    <w:pPr>
      <w:tabs>
        <w:tab w:val="center" w:pos="4513"/>
        <w:tab w:val="right" w:pos="9026"/>
      </w:tabs>
    </w:pPr>
  </w:style>
  <w:style w:type="character" w:customStyle="1" w:styleId="FooterChar">
    <w:name w:val="Footer Char"/>
    <w:basedOn w:val="DefaultParagraphFont"/>
    <w:link w:val="Footer"/>
    <w:uiPriority w:val="99"/>
    <w:rsid w:val="001D2F5F"/>
    <w:rPr>
      <w:rFonts w:ascii="Calibri" w:eastAsiaTheme="minorEastAsia" w:hAnsi="Calibri" w:cs="Times New Roman"/>
      <w:szCs w:val="24"/>
    </w:rPr>
  </w:style>
  <w:style w:type="character" w:customStyle="1" w:styleId="Heading2Char">
    <w:name w:val="Heading 2 Char"/>
    <w:basedOn w:val="DefaultParagraphFont"/>
    <w:link w:val="Heading2"/>
    <w:uiPriority w:val="9"/>
    <w:semiHidden/>
    <w:rsid w:val="00053BE3"/>
    <w:rPr>
      <w:rFonts w:asciiTheme="majorHAnsi" w:eastAsiaTheme="majorEastAsia" w:hAnsiTheme="majorHAnsi" w:cstheme="majorBidi"/>
      <w:color w:val="2F5496" w:themeColor="accent1" w:themeShade="BF"/>
      <w:sz w:val="26"/>
      <w:szCs w:val="26"/>
    </w:rPr>
  </w:style>
  <w:style w:type="character" w:styleId="FootnoteReference">
    <w:name w:val="footnote reference"/>
    <w:rsid w:val="00053BE3"/>
    <w:rPr>
      <w:vertAlign w:val="superscript"/>
    </w:rPr>
  </w:style>
  <w:style w:type="character" w:customStyle="1" w:styleId="ListParagraphChar">
    <w:name w:val="List Paragraph Char"/>
    <w:basedOn w:val="DefaultParagraphFont"/>
    <w:link w:val="ListParagraph"/>
    <w:uiPriority w:val="34"/>
    <w:rsid w:val="00053BE3"/>
    <w:rPr>
      <w:rFonts w:ascii="Calibri" w:hAnsi="Calibri"/>
      <w:szCs w:val="24"/>
    </w:rPr>
  </w:style>
  <w:style w:type="paragraph" w:styleId="ListParagraph">
    <w:name w:val="List Paragraph"/>
    <w:basedOn w:val="Normal"/>
    <w:link w:val="ListParagraphChar"/>
    <w:uiPriority w:val="34"/>
    <w:qFormat/>
    <w:rsid w:val="00053BE3"/>
    <w:pPr>
      <w:spacing w:before="120" w:after="120"/>
      <w:ind w:left="720"/>
    </w:pPr>
    <w:rPr>
      <w:rFonts w:eastAsiaTheme="minorHAnsi" w:cstheme="minorBidi"/>
    </w:rPr>
  </w:style>
  <w:style w:type="paragraph" w:styleId="FootnoteText">
    <w:name w:val="footnote text"/>
    <w:basedOn w:val="Normal"/>
    <w:link w:val="FootnoteTextChar"/>
    <w:uiPriority w:val="99"/>
    <w:rsid w:val="00053BE3"/>
    <w:rPr>
      <w:rFonts w:eastAsia="Times New Roman"/>
      <w:sz w:val="20"/>
      <w:szCs w:val="20"/>
      <w:lang w:eastAsia="en-AU"/>
    </w:rPr>
  </w:style>
  <w:style w:type="character" w:customStyle="1" w:styleId="FootnoteTextChar">
    <w:name w:val="Footnote Text Char"/>
    <w:basedOn w:val="DefaultParagraphFont"/>
    <w:link w:val="FootnoteText"/>
    <w:uiPriority w:val="99"/>
    <w:rsid w:val="00053BE3"/>
    <w:rPr>
      <w:rFonts w:ascii="Calibri" w:eastAsia="Times New Roman" w:hAnsi="Calibri"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197 - Summary of Risk Assessment and Risk Management Plan</dc:title>
  <dc:subject/>
  <dc:creator/>
  <cp:keywords/>
  <dc:description/>
  <cp:lastModifiedBy/>
  <cp:revision>1</cp:revision>
  <dcterms:created xsi:type="dcterms:W3CDTF">2023-09-27T23:32:00Z</dcterms:created>
  <dcterms:modified xsi:type="dcterms:W3CDTF">2023-09-27T23:32:00Z</dcterms:modified>
</cp:coreProperties>
</file>