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E1C8" w14:textId="375CC2DC" w:rsidR="006F175C" w:rsidRPr="00AB4596" w:rsidRDefault="006F175C" w:rsidP="005B0261">
      <w:pPr>
        <w:pStyle w:val="BodyText3"/>
        <w:spacing w:before="480" w:after="240"/>
        <w:ind w:right="-170"/>
        <w:rPr>
          <w:rFonts w:asciiTheme="minorHAnsi" w:hAnsiTheme="minorHAnsi" w:cs="Arial"/>
          <w:szCs w:val="22"/>
        </w:rPr>
      </w:pPr>
      <w:r w:rsidRPr="00AB4596">
        <w:rPr>
          <w:rFonts w:asciiTheme="minorHAnsi" w:hAnsiTheme="minorHAnsi" w:cs="Arial"/>
          <w:szCs w:val="22"/>
        </w:rPr>
        <w:t xml:space="preserve">Questions &amp; Answers on </w:t>
      </w:r>
      <w:r w:rsidR="007069C1" w:rsidRPr="00AB4596">
        <w:rPr>
          <w:rFonts w:asciiTheme="minorHAnsi" w:hAnsiTheme="minorHAnsi" w:cs="Arial"/>
          <w:szCs w:val="22"/>
        </w:rPr>
        <w:t>l</w:t>
      </w:r>
      <w:r w:rsidRPr="00AB4596">
        <w:rPr>
          <w:rFonts w:asciiTheme="minorHAnsi" w:hAnsiTheme="minorHAnsi" w:cs="Arial"/>
          <w:szCs w:val="22"/>
        </w:rPr>
        <w:t xml:space="preserve">icence </w:t>
      </w:r>
      <w:r w:rsidRPr="003B6B34">
        <w:rPr>
          <w:rFonts w:asciiTheme="minorHAnsi" w:hAnsiTheme="minorHAnsi" w:cs="Arial"/>
          <w:szCs w:val="22"/>
        </w:rPr>
        <w:t xml:space="preserve">DIR </w:t>
      </w:r>
      <w:r w:rsidR="003B6B34" w:rsidRPr="003B6B34">
        <w:rPr>
          <w:rFonts w:asciiTheme="minorHAnsi" w:hAnsiTheme="minorHAnsi" w:cs="Arial"/>
          <w:szCs w:val="22"/>
        </w:rPr>
        <w:t>196</w:t>
      </w:r>
      <w:r w:rsidR="00857B18">
        <w:rPr>
          <w:rFonts w:asciiTheme="minorHAnsi" w:hAnsiTheme="minorHAnsi" w:cs="Arial"/>
          <w:szCs w:val="22"/>
        </w:rPr>
        <w:t xml:space="preserve"> </w:t>
      </w:r>
      <w:r w:rsidRPr="00AB4596">
        <w:rPr>
          <w:rFonts w:asciiTheme="minorHAnsi" w:hAnsiTheme="minorHAnsi" w:cs="Arial"/>
          <w:szCs w:val="22"/>
        </w:rPr>
        <w:t>–</w:t>
      </w:r>
      <w:r w:rsidRPr="00AB4596">
        <w:rPr>
          <w:rFonts w:asciiTheme="minorHAnsi" w:hAnsiTheme="minorHAnsi" w:cs="Arial"/>
          <w:szCs w:val="22"/>
        </w:rPr>
        <w:br/>
      </w:r>
      <w:r w:rsidR="003B6B34" w:rsidRPr="003C25E6">
        <w:rPr>
          <w:rFonts w:asciiTheme="minorHAnsi" w:hAnsiTheme="minorHAnsi" w:cs="Arial"/>
          <w:szCs w:val="22"/>
        </w:rPr>
        <w:t>commercial supply of a genetically modified (GM) dengue vaccine, Qdenga</w:t>
      </w:r>
    </w:p>
    <w:p w14:paraId="6DE077F7" w14:textId="77777777" w:rsidR="000036AF" w:rsidRPr="00B34CBB"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4FEFD3B7" w14:textId="4A0FC161" w:rsidR="0028630B" w:rsidRPr="003B6B34" w:rsidRDefault="003B6B34" w:rsidP="0028630B">
      <w:pPr>
        <w:pStyle w:val="Arrow"/>
        <w:numPr>
          <w:ilvl w:val="0"/>
          <w:numId w:val="0"/>
        </w:numPr>
        <w:spacing w:before="120"/>
        <w:rPr>
          <w:rFonts w:asciiTheme="minorHAnsi" w:hAnsiTheme="minorHAnsi" w:cstheme="minorHAnsi"/>
          <w:sz w:val="22"/>
          <w:szCs w:val="22"/>
        </w:rPr>
      </w:pPr>
      <w:r w:rsidRPr="003B6B34">
        <w:rPr>
          <w:rFonts w:asciiTheme="minorHAnsi" w:hAnsiTheme="minorHAnsi" w:cstheme="minorHAnsi"/>
          <w:sz w:val="22"/>
          <w:szCs w:val="22"/>
        </w:rPr>
        <w:t xml:space="preserve">Takeda Pharmaceuticals Australia Pty Ltd has received an approval under the </w:t>
      </w:r>
      <w:r w:rsidRPr="003B6B34">
        <w:rPr>
          <w:rFonts w:asciiTheme="minorHAnsi" w:hAnsiTheme="minorHAnsi" w:cstheme="minorHAnsi"/>
          <w:i/>
          <w:iCs/>
          <w:sz w:val="22"/>
          <w:szCs w:val="22"/>
        </w:rPr>
        <w:t>Gene Technology Act 2000</w:t>
      </w:r>
      <w:r w:rsidRPr="003B6B34">
        <w:rPr>
          <w:rFonts w:asciiTheme="minorHAnsi" w:hAnsiTheme="minorHAnsi" w:cstheme="minorHAnsi"/>
          <w:sz w:val="22"/>
          <w:szCs w:val="22"/>
        </w:rPr>
        <w:t xml:space="preserve"> </w:t>
      </w:r>
      <w:r w:rsidRPr="003B6B34">
        <w:rPr>
          <w:rFonts w:ascii="Calibri" w:hAnsi="Calibri"/>
          <w:sz w:val="22"/>
          <w:szCs w:val="22"/>
        </w:rPr>
        <w:t xml:space="preserve">for the import, </w:t>
      </w:r>
      <w:r w:rsidR="00BD4529">
        <w:rPr>
          <w:rFonts w:ascii="Calibri" w:hAnsi="Calibri"/>
          <w:sz w:val="22"/>
          <w:szCs w:val="22"/>
        </w:rPr>
        <w:t xml:space="preserve">transport, </w:t>
      </w:r>
      <w:r w:rsidRPr="003B6B34">
        <w:rPr>
          <w:rFonts w:ascii="Calibri" w:hAnsi="Calibri"/>
          <w:sz w:val="22"/>
          <w:szCs w:val="22"/>
        </w:rPr>
        <w:t>storage, and disposal of a genetically modified (GM) dengue vaccine, Qdenga, as part of its commercial supply in Australia as a human vaccine against dengue virus.</w:t>
      </w:r>
    </w:p>
    <w:p w14:paraId="6612CF22" w14:textId="77777777" w:rsidR="003B6B34" w:rsidRPr="003B6B34" w:rsidRDefault="003B6B34" w:rsidP="003B6B34">
      <w:pPr>
        <w:keepNext/>
        <w:spacing w:before="240" w:after="120"/>
        <w:outlineLvl w:val="2"/>
        <w:rPr>
          <w:rFonts w:ascii="Calibri" w:hAnsi="Calibri" w:cs="Arial"/>
          <w:b/>
          <w:bCs/>
          <w:sz w:val="22"/>
          <w:szCs w:val="24"/>
        </w:rPr>
      </w:pPr>
      <w:r w:rsidRPr="003B6B34">
        <w:rPr>
          <w:rFonts w:ascii="Calibri" w:hAnsi="Calibri" w:cs="Arial"/>
          <w:b/>
          <w:bCs/>
          <w:sz w:val="22"/>
          <w:szCs w:val="24"/>
        </w:rPr>
        <w:t>What is dengue?</w:t>
      </w:r>
    </w:p>
    <w:p w14:paraId="7AA149FA" w14:textId="0E1E07E0" w:rsidR="003B6B34" w:rsidRPr="003B6B34" w:rsidRDefault="003B6B34" w:rsidP="003B6B34">
      <w:pPr>
        <w:rPr>
          <w:rFonts w:asciiTheme="minorHAnsi" w:hAnsiTheme="minorHAnsi"/>
          <w:sz w:val="22"/>
          <w:szCs w:val="22"/>
        </w:rPr>
      </w:pPr>
      <w:r w:rsidRPr="003B6B34">
        <w:rPr>
          <w:rFonts w:asciiTheme="minorHAnsi" w:hAnsiTheme="minorHAnsi"/>
          <w:sz w:val="22"/>
          <w:szCs w:val="22"/>
        </w:rPr>
        <w:t>Dengue is a mosquito-borne disease caused by dengue viruses. A ‘strain’ is a genetic variant or subtype of a microorganism. Strains of dengue virus can also be categorised into 4 distinct ‘serotypes’ based on proteins on the surface of the viral particle that are recognised by the immune system. People infected for the first time can develop sudden and painful fever. The infection usually resolves after a week and the person has life</w:t>
      </w:r>
      <w:r w:rsidRPr="003B6B34">
        <w:rPr>
          <w:rFonts w:asciiTheme="minorHAnsi" w:hAnsiTheme="minorHAnsi"/>
          <w:sz w:val="22"/>
          <w:szCs w:val="22"/>
        </w:rPr>
        <w:noBreakHyphen/>
        <w:t xml:space="preserve">long immunity to that particular serotype of dengue virus. However, a subsequent infection with a different serotype of dengue virus can potentially lead to </w:t>
      </w:r>
      <w:r w:rsidR="00B304F0">
        <w:rPr>
          <w:rFonts w:asciiTheme="minorHAnsi" w:hAnsiTheme="minorHAnsi"/>
          <w:sz w:val="22"/>
          <w:szCs w:val="22"/>
        </w:rPr>
        <w:t xml:space="preserve">a more serious outcome, including </w:t>
      </w:r>
      <w:r w:rsidRPr="003B6B34">
        <w:rPr>
          <w:rFonts w:asciiTheme="minorHAnsi" w:hAnsiTheme="minorHAnsi"/>
          <w:sz w:val="22"/>
          <w:szCs w:val="22"/>
        </w:rPr>
        <w:t>life-threatening dengue haemorrhagic fever or dengue shock syndrome.</w:t>
      </w:r>
    </w:p>
    <w:p w14:paraId="189FFAFA" w14:textId="77777777" w:rsidR="003B6B34" w:rsidRPr="003B6B34" w:rsidRDefault="003B6B34" w:rsidP="003B6B34">
      <w:pPr>
        <w:keepNext/>
        <w:spacing w:before="240" w:after="120"/>
        <w:outlineLvl w:val="2"/>
        <w:rPr>
          <w:rFonts w:ascii="Calibri" w:hAnsi="Calibri" w:cs="Arial"/>
          <w:b/>
          <w:bCs/>
          <w:sz w:val="22"/>
          <w:szCs w:val="24"/>
        </w:rPr>
      </w:pPr>
      <w:r w:rsidRPr="003B6B34">
        <w:rPr>
          <w:rFonts w:ascii="Calibri" w:hAnsi="Calibri" w:cs="Arial"/>
          <w:b/>
          <w:bCs/>
          <w:sz w:val="22"/>
          <w:szCs w:val="24"/>
        </w:rPr>
        <w:t>How has the dengue vaccine been genetically modified?</w:t>
      </w:r>
    </w:p>
    <w:p w14:paraId="6724F0FC" w14:textId="5D5812A3" w:rsidR="003B6B34" w:rsidRPr="003B6B34" w:rsidRDefault="00B304F0" w:rsidP="004C412B">
      <w:pPr>
        <w:spacing w:after="60"/>
        <w:rPr>
          <w:rFonts w:asciiTheme="minorHAnsi" w:hAnsiTheme="minorHAnsi"/>
          <w:sz w:val="22"/>
          <w:szCs w:val="22"/>
        </w:rPr>
      </w:pPr>
      <w:r>
        <w:rPr>
          <w:rFonts w:asciiTheme="minorHAnsi" w:hAnsiTheme="minorHAnsi"/>
          <w:sz w:val="22"/>
          <w:szCs w:val="22"/>
        </w:rPr>
        <w:t xml:space="preserve">Qdenga </w:t>
      </w:r>
      <w:r w:rsidRPr="00B304F0">
        <w:rPr>
          <w:rFonts w:asciiTheme="minorHAnsi" w:hAnsiTheme="minorHAnsi"/>
          <w:sz w:val="22"/>
          <w:szCs w:val="22"/>
        </w:rPr>
        <w:t xml:space="preserve">contains </w:t>
      </w:r>
      <w:r w:rsidR="00D87068">
        <w:rPr>
          <w:rFonts w:asciiTheme="minorHAnsi" w:hAnsiTheme="minorHAnsi"/>
          <w:sz w:val="22"/>
          <w:szCs w:val="22"/>
        </w:rPr>
        <w:t>4</w:t>
      </w:r>
      <w:r w:rsidRPr="00B304F0">
        <w:rPr>
          <w:rFonts w:asciiTheme="minorHAnsi" w:hAnsiTheme="minorHAnsi"/>
          <w:sz w:val="22"/>
          <w:szCs w:val="22"/>
        </w:rPr>
        <w:t xml:space="preserve"> GM attenuated </w:t>
      </w:r>
      <w:r>
        <w:rPr>
          <w:rFonts w:asciiTheme="minorHAnsi" w:hAnsiTheme="minorHAnsi"/>
          <w:sz w:val="22"/>
          <w:szCs w:val="22"/>
        </w:rPr>
        <w:t xml:space="preserve">(weakened) </w:t>
      </w:r>
      <w:r w:rsidR="00D87068">
        <w:rPr>
          <w:rFonts w:asciiTheme="minorHAnsi" w:hAnsiTheme="minorHAnsi"/>
          <w:sz w:val="22"/>
          <w:szCs w:val="22"/>
        </w:rPr>
        <w:t>strains of dengue virus</w:t>
      </w:r>
      <w:r w:rsidRPr="00B304F0">
        <w:rPr>
          <w:rFonts w:asciiTheme="minorHAnsi" w:hAnsiTheme="minorHAnsi"/>
          <w:sz w:val="22"/>
          <w:szCs w:val="22"/>
        </w:rPr>
        <w:t>.</w:t>
      </w:r>
      <w:r>
        <w:rPr>
          <w:rFonts w:asciiTheme="minorHAnsi" w:hAnsiTheme="minorHAnsi"/>
          <w:sz w:val="22"/>
          <w:szCs w:val="22"/>
        </w:rPr>
        <w:t xml:space="preserve"> </w:t>
      </w:r>
      <w:r w:rsidRPr="00B304F0">
        <w:rPr>
          <w:rFonts w:asciiTheme="minorHAnsi" w:hAnsiTheme="minorHAnsi"/>
          <w:sz w:val="22"/>
          <w:szCs w:val="22"/>
        </w:rPr>
        <w:t>These vaccine strains are based on a non-GM</w:t>
      </w:r>
      <w:r>
        <w:rPr>
          <w:rFonts w:asciiTheme="minorHAnsi" w:hAnsiTheme="minorHAnsi"/>
          <w:sz w:val="22"/>
          <w:szCs w:val="22"/>
        </w:rPr>
        <w:t xml:space="preserve"> serotype 2 strain. One of the GM strains contains</w:t>
      </w:r>
      <w:r w:rsidR="00D87068">
        <w:rPr>
          <w:rFonts w:asciiTheme="minorHAnsi" w:hAnsiTheme="minorHAnsi"/>
          <w:sz w:val="22"/>
          <w:szCs w:val="22"/>
        </w:rPr>
        <w:t xml:space="preserve"> serotype 2 dengue</w:t>
      </w:r>
      <w:r>
        <w:rPr>
          <w:rFonts w:asciiTheme="minorHAnsi" w:hAnsiTheme="minorHAnsi"/>
          <w:sz w:val="22"/>
          <w:szCs w:val="22"/>
        </w:rPr>
        <w:t xml:space="preserve"> genes that produce proteins that are recognised by the human immune system. In </w:t>
      </w:r>
      <w:r w:rsidR="00AF652F">
        <w:rPr>
          <w:rFonts w:asciiTheme="minorHAnsi" w:hAnsiTheme="minorHAnsi"/>
          <w:sz w:val="22"/>
          <w:szCs w:val="22"/>
        </w:rPr>
        <w:t xml:space="preserve">each of </w:t>
      </w:r>
      <w:r>
        <w:rPr>
          <w:rFonts w:asciiTheme="minorHAnsi" w:hAnsiTheme="minorHAnsi"/>
          <w:sz w:val="22"/>
          <w:szCs w:val="22"/>
        </w:rPr>
        <w:t xml:space="preserve">the other 3 strains, these genes have been replaced with equivalent genes from </w:t>
      </w:r>
      <w:r w:rsidR="00893FF2">
        <w:rPr>
          <w:rFonts w:asciiTheme="minorHAnsi" w:hAnsiTheme="minorHAnsi"/>
          <w:sz w:val="22"/>
          <w:szCs w:val="22"/>
        </w:rPr>
        <w:t xml:space="preserve">one of </w:t>
      </w:r>
      <w:r>
        <w:rPr>
          <w:rFonts w:asciiTheme="minorHAnsi" w:hAnsiTheme="minorHAnsi"/>
          <w:sz w:val="22"/>
          <w:szCs w:val="22"/>
        </w:rPr>
        <w:t>the other 3 dengue serotypes. As a result of these modifications, the vaccine is intended</w:t>
      </w:r>
      <w:r w:rsidR="00D87068">
        <w:rPr>
          <w:rFonts w:asciiTheme="minorHAnsi" w:hAnsiTheme="minorHAnsi"/>
          <w:sz w:val="22"/>
          <w:szCs w:val="22"/>
        </w:rPr>
        <w:t xml:space="preserve"> </w:t>
      </w:r>
      <w:r w:rsidR="00586AEF">
        <w:rPr>
          <w:rFonts w:asciiTheme="minorHAnsi" w:hAnsiTheme="minorHAnsi"/>
          <w:sz w:val="22"/>
          <w:szCs w:val="22"/>
        </w:rPr>
        <w:t xml:space="preserve">to </w:t>
      </w:r>
      <w:r w:rsidR="00AF652F">
        <w:rPr>
          <w:rFonts w:asciiTheme="minorHAnsi" w:hAnsiTheme="minorHAnsi"/>
          <w:sz w:val="22"/>
          <w:szCs w:val="22"/>
        </w:rPr>
        <w:t>stimulate an immune response that will</w:t>
      </w:r>
      <w:r w:rsidR="00D87068">
        <w:rPr>
          <w:rFonts w:asciiTheme="minorHAnsi" w:hAnsiTheme="minorHAnsi"/>
          <w:sz w:val="22"/>
          <w:szCs w:val="22"/>
        </w:rPr>
        <w:t xml:space="preserve"> provide protection against all 4 dengue serotypes.</w:t>
      </w:r>
    </w:p>
    <w:p w14:paraId="2170FD41" w14:textId="77777777" w:rsidR="003B6B34" w:rsidRPr="003B6B34" w:rsidRDefault="003B6B34" w:rsidP="003B6B34">
      <w:pPr>
        <w:keepNext/>
        <w:spacing w:before="240" w:after="120"/>
        <w:outlineLvl w:val="2"/>
        <w:rPr>
          <w:rFonts w:ascii="Calibri" w:hAnsi="Calibri" w:cs="Arial"/>
          <w:b/>
          <w:bCs/>
          <w:sz w:val="22"/>
          <w:szCs w:val="24"/>
        </w:rPr>
      </w:pPr>
      <w:r w:rsidRPr="003B6B34">
        <w:rPr>
          <w:rFonts w:ascii="Calibri" w:hAnsi="Calibri" w:cs="Arial"/>
          <w:b/>
          <w:bCs/>
          <w:sz w:val="22"/>
          <w:szCs w:val="24"/>
        </w:rPr>
        <w:t>Why is the dengue vaccine being supplied in Australia?</w:t>
      </w:r>
    </w:p>
    <w:p w14:paraId="06B064CF" w14:textId="3C764B75" w:rsidR="003B6B34" w:rsidRPr="003B6B34" w:rsidRDefault="003B6B34" w:rsidP="003B6B34">
      <w:pPr>
        <w:tabs>
          <w:tab w:val="num" w:pos="510"/>
        </w:tabs>
        <w:rPr>
          <w:rFonts w:asciiTheme="minorHAnsi" w:hAnsiTheme="minorHAnsi"/>
          <w:sz w:val="22"/>
          <w:szCs w:val="22"/>
        </w:rPr>
      </w:pPr>
      <w:r w:rsidRPr="003B6B34">
        <w:rPr>
          <w:rFonts w:asciiTheme="minorHAnsi" w:hAnsiTheme="minorHAnsi"/>
          <w:sz w:val="22"/>
          <w:szCs w:val="22"/>
        </w:rPr>
        <w:t>Dengue is exotic to Australia, but Australians can be infected when they travel to neighbouring tropical regions where dengue is endemic. When a person infected with dengue returns, the disease is brought into Australia and sporadic outbreaks occur in the warmer parts of Australia, where the disease-transmitting mosquito lives.</w:t>
      </w:r>
    </w:p>
    <w:p w14:paraId="38180389" w14:textId="77777777" w:rsidR="003B6B34" w:rsidRPr="003B6B34" w:rsidRDefault="003B6B34" w:rsidP="003B6B34">
      <w:pPr>
        <w:keepNext/>
        <w:spacing w:before="240" w:after="120"/>
        <w:outlineLvl w:val="2"/>
        <w:rPr>
          <w:rFonts w:ascii="Calibri" w:hAnsi="Calibri" w:cs="Arial"/>
          <w:b/>
          <w:bCs/>
          <w:sz w:val="22"/>
          <w:szCs w:val="24"/>
        </w:rPr>
      </w:pPr>
      <w:r w:rsidRPr="003B6B34">
        <w:rPr>
          <w:rFonts w:ascii="Calibri" w:hAnsi="Calibri" w:cs="Arial"/>
          <w:b/>
          <w:bCs/>
          <w:sz w:val="22"/>
          <w:szCs w:val="24"/>
        </w:rPr>
        <w:t>What regulatory processes apply to this commercial supply?</w:t>
      </w:r>
    </w:p>
    <w:p w14:paraId="0C4C6A4D" w14:textId="77777777" w:rsidR="003B6B34" w:rsidRPr="003B6B34" w:rsidRDefault="003B6B34" w:rsidP="003B6B34">
      <w:pPr>
        <w:tabs>
          <w:tab w:val="num" w:pos="510"/>
        </w:tabs>
        <w:spacing w:after="60"/>
        <w:rPr>
          <w:rFonts w:asciiTheme="minorHAnsi" w:hAnsiTheme="minorHAnsi"/>
          <w:sz w:val="22"/>
          <w:szCs w:val="22"/>
        </w:rPr>
      </w:pPr>
      <w:r w:rsidRPr="003B6B34">
        <w:rPr>
          <w:rFonts w:asciiTheme="minorHAnsi" w:hAnsiTheme="minorHAnsi"/>
          <w:sz w:val="22"/>
          <w:szCs w:val="22"/>
        </w:rPr>
        <w:t>The Gene Technology Regulator (the Regulator) has specific responsibility to protect the health and safety of people, and to protect the environment from any risks posed by gene technology. For this type of application, the activities assessed by the Regulator are the import, transport, storage, and disposal of the GM vaccine.</w:t>
      </w:r>
    </w:p>
    <w:p w14:paraId="6A96C30B" w14:textId="208C4115" w:rsidR="003B6B34" w:rsidRPr="003B6B34" w:rsidRDefault="003B6B34" w:rsidP="003B6B34">
      <w:pPr>
        <w:tabs>
          <w:tab w:val="num" w:pos="510"/>
        </w:tabs>
        <w:spacing w:after="60"/>
        <w:rPr>
          <w:rFonts w:asciiTheme="minorHAnsi" w:hAnsiTheme="minorHAnsi"/>
          <w:sz w:val="22"/>
          <w:szCs w:val="22"/>
        </w:rPr>
      </w:pPr>
      <w:r w:rsidRPr="003B6B34">
        <w:rPr>
          <w:rFonts w:asciiTheme="minorHAnsi" w:hAnsiTheme="minorHAnsi"/>
          <w:sz w:val="22"/>
          <w:szCs w:val="22"/>
        </w:rPr>
        <w:t xml:space="preserve">The use of the vaccine in people will also require </w:t>
      </w:r>
      <w:r w:rsidRPr="00B24092">
        <w:rPr>
          <w:rFonts w:asciiTheme="minorHAnsi" w:hAnsiTheme="minorHAnsi"/>
          <w:sz w:val="22"/>
          <w:szCs w:val="22"/>
        </w:rPr>
        <w:t>approval</w:t>
      </w:r>
      <w:r w:rsidRPr="003B6B34">
        <w:rPr>
          <w:rFonts w:asciiTheme="minorHAnsi" w:hAnsiTheme="minorHAnsi"/>
          <w:sz w:val="22"/>
          <w:szCs w:val="22"/>
        </w:rPr>
        <w:t xml:space="preserve"> by the Therapeutic Goods Administration (TGA). The TGA considers the safety and efficacy of the vaccine in people being vaccinated as part of their approval process, and also determines conditions for the use of the vaccine.</w:t>
      </w:r>
    </w:p>
    <w:p w14:paraId="34C56A3E" w14:textId="77777777" w:rsidR="003B6B34" w:rsidRPr="003B6B34" w:rsidRDefault="003B6B34" w:rsidP="003B6B34">
      <w:pPr>
        <w:tabs>
          <w:tab w:val="num" w:pos="510"/>
        </w:tabs>
        <w:rPr>
          <w:rFonts w:asciiTheme="minorHAnsi" w:hAnsiTheme="minorHAnsi"/>
          <w:sz w:val="22"/>
          <w:szCs w:val="22"/>
        </w:rPr>
      </w:pPr>
      <w:r w:rsidRPr="00B24092">
        <w:rPr>
          <w:rFonts w:asciiTheme="minorHAnsi" w:hAnsiTheme="minorHAnsi"/>
          <w:sz w:val="22"/>
          <w:szCs w:val="22"/>
        </w:rPr>
        <w:t>The import of the vaccine will also require a permit from the Department of Agriculture, Fisheries and Forestry (DAFF).</w:t>
      </w:r>
    </w:p>
    <w:p w14:paraId="14899FEC" w14:textId="77777777" w:rsidR="003B6B34" w:rsidRPr="003B6B34" w:rsidRDefault="003B6B34" w:rsidP="003B6B34">
      <w:pPr>
        <w:keepNext/>
        <w:spacing w:before="240" w:after="120"/>
        <w:outlineLvl w:val="2"/>
        <w:rPr>
          <w:rFonts w:ascii="Calibri" w:hAnsi="Calibri" w:cs="Arial"/>
          <w:b/>
          <w:bCs/>
          <w:sz w:val="22"/>
          <w:szCs w:val="24"/>
        </w:rPr>
      </w:pPr>
      <w:r w:rsidRPr="003B6B34">
        <w:rPr>
          <w:rFonts w:ascii="Calibri" w:hAnsi="Calibri" w:cs="Arial"/>
          <w:b/>
          <w:bCs/>
          <w:sz w:val="22"/>
          <w:szCs w:val="24"/>
        </w:rPr>
        <w:t>Has Qdenga been used previously?</w:t>
      </w:r>
    </w:p>
    <w:p w14:paraId="7EC8DA93" w14:textId="77777777" w:rsidR="003B6B34" w:rsidRPr="003B6B34" w:rsidRDefault="003B6B34" w:rsidP="003B6B34">
      <w:pPr>
        <w:tabs>
          <w:tab w:val="num" w:pos="510"/>
        </w:tabs>
        <w:spacing w:after="60"/>
        <w:rPr>
          <w:rFonts w:asciiTheme="minorHAnsi" w:hAnsiTheme="minorHAnsi"/>
          <w:sz w:val="22"/>
          <w:szCs w:val="22"/>
        </w:rPr>
      </w:pPr>
      <w:r w:rsidRPr="003B6B34">
        <w:rPr>
          <w:rFonts w:asciiTheme="minorHAnsi" w:hAnsiTheme="minorHAnsi"/>
          <w:sz w:val="22"/>
          <w:szCs w:val="22"/>
        </w:rPr>
        <w:t>Qdenga has not previously been approved for commercial use in Australia.</w:t>
      </w:r>
    </w:p>
    <w:p w14:paraId="582B0194" w14:textId="6D5C4B43" w:rsidR="003B6B34" w:rsidRPr="003B6B34" w:rsidRDefault="003B6B34" w:rsidP="003B6B34">
      <w:pPr>
        <w:tabs>
          <w:tab w:val="num" w:pos="510"/>
        </w:tabs>
        <w:rPr>
          <w:rFonts w:asciiTheme="minorHAnsi" w:hAnsiTheme="minorHAnsi"/>
          <w:sz w:val="22"/>
          <w:szCs w:val="22"/>
        </w:rPr>
      </w:pPr>
      <w:r w:rsidRPr="003B6B34">
        <w:rPr>
          <w:rFonts w:asciiTheme="minorHAnsi" w:hAnsiTheme="minorHAnsi"/>
          <w:sz w:val="22"/>
          <w:szCs w:val="22"/>
        </w:rPr>
        <w:t>Internationally, Qdenga has been approved by health authorities in Indonesia, the European Union, Great Britain, Brazil, Argentina, and Thailand.</w:t>
      </w:r>
    </w:p>
    <w:p w14:paraId="15A73126" w14:textId="6AF2BD22" w:rsidR="007E48D3" w:rsidRPr="003B6B34" w:rsidRDefault="007E48D3" w:rsidP="00280A30">
      <w:pPr>
        <w:keepNext/>
        <w:spacing w:before="120"/>
        <w:rPr>
          <w:rFonts w:ascii="Calibri" w:hAnsi="Calibri" w:cs="Calibri"/>
          <w:b/>
          <w:sz w:val="22"/>
        </w:rPr>
      </w:pPr>
      <w:r w:rsidRPr="003B6B34">
        <w:rPr>
          <w:rFonts w:ascii="Calibri" w:hAnsi="Calibri" w:cs="Calibri"/>
          <w:b/>
          <w:sz w:val="22"/>
        </w:rPr>
        <w:lastRenderedPageBreak/>
        <w:t xml:space="preserve">What controls have been imposed for this </w:t>
      </w:r>
      <w:r w:rsidR="003B6B34" w:rsidRPr="003B6B34">
        <w:rPr>
          <w:rFonts w:ascii="Calibri" w:hAnsi="Calibri" w:cs="Calibri"/>
          <w:b/>
          <w:sz w:val="22"/>
        </w:rPr>
        <w:t>commercial supply</w:t>
      </w:r>
      <w:r w:rsidRPr="003B6B34">
        <w:rPr>
          <w:rFonts w:ascii="Calibri" w:hAnsi="Calibri" w:cs="Calibri"/>
          <w:b/>
          <w:sz w:val="22"/>
        </w:rPr>
        <w:t>?</w:t>
      </w:r>
    </w:p>
    <w:p w14:paraId="4A152A6A" w14:textId="7C07316D" w:rsidR="007E48D3" w:rsidRPr="003B6B34" w:rsidRDefault="007E48D3" w:rsidP="00280A30">
      <w:pPr>
        <w:keepNext/>
        <w:spacing w:before="120"/>
        <w:rPr>
          <w:rFonts w:ascii="Calibri" w:hAnsi="Calibri" w:cs="Calibri"/>
          <w:sz w:val="20"/>
          <w:szCs w:val="22"/>
        </w:rPr>
      </w:pPr>
      <w:r w:rsidRPr="003B6B34">
        <w:rPr>
          <w:rFonts w:ascii="Calibri" w:hAnsi="Calibri" w:cs="Calibri"/>
          <w:sz w:val="22"/>
        </w:rPr>
        <w:t xml:space="preserve">The licence is for an ongoing commercial </w:t>
      </w:r>
      <w:r w:rsidR="003B6B34" w:rsidRPr="003B6B34">
        <w:rPr>
          <w:rFonts w:ascii="Calibri" w:hAnsi="Calibri" w:cs="Calibri"/>
          <w:sz w:val="22"/>
        </w:rPr>
        <w:t>supply</w:t>
      </w:r>
      <w:r w:rsidRPr="003B6B34">
        <w:rPr>
          <w:rFonts w:ascii="Calibri" w:hAnsi="Calibri" w:cs="Calibri"/>
          <w:sz w:val="22"/>
        </w:rPr>
        <w:t>. The Regulator has not imposed any specific measures to manage risk, as the risk assessment concluded that t</w:t>
      </w:r>
      <w:r w:rsidR="003B6B34" w:rsidRPr="003B6B34">
        <w:rPr>
          <w:rFonts w:ascii="Calibri" w:hAnsi="Calibri" w:cs="Calibri"/>
          <w:sz w:val="22"/>
        </w:rPr>
        <w:t>he</w:t>
      </w:r>
      <w:r w:rsidRPr="003B6B34">
        <w:rPr>
          <w:rFonts w:ascii="Calibri" w:hAnsi="Calibri" w:cs="Calibri"/>
          <w:sz w:val="22"/>
        </w:rPr>
        <w:t xml:space="preserve"> </w:t>
      </w:r>
      <w:r w:rsidR="003B6B34" w:rsidRPr="003B6B34">
        <w:rPr>
          <w:rFonts w:ascii="Calibri" w:hAnsi="Calibri" w:cs="Calibri"/>
          <w:sz w:val="22"/>
        </w:rPr>
        <w:t>supply</w:t>
      </w:r>
      <w:r w:rsidRPr="003B6B34">
        <w:rPr>
          <w:rFonts w:ascii="Calibri" w:hAnsi="Calibri" w:cs="Calibri"/>
          <w:sz w:val="22"/>
        </w:rPr>
        <w:t xml:space="preserve"> of th</w:t>
      </w:r>
      <w:r w:rsidR="003B6B34" w:rsidRPr="003B6B34">
        <w:rPr>
          <w:rFonts w:ascii="Calibri" w:hAnsi="Calibri" w:cs="Calibri"/>
          <w:sz w:val="22"/>
        </w:rPr>
        <w:t>is</w:t>
      </w:r>
      <w:r w:rsidRPr="003B6B34">
        <w:rPr>
          <w:rFonts w:ascii="Calibri" w:hAnsi="Calibri" w:cs="Calibri"/>
          <w:sz w:val="22"/>
        </w:rPr>
        <w:t xml:space="preserve"> GM </w:t>
      </w:r>
      <w:r w:rsidR="003B6B34" w:rsidRPr="003B6B34">
        <w:rPr>
          <w:rFonts w:ascii="Calibri" w:hAnsi="Calibri" w:cs="Calibri"/>
          <w:sz w:val="22"/>
        </w:rPr>
        <w:t>dengue vaccine</w:t>
      </w:r>
      <w:r w:rsidRPr="003B6B34">
        <w:rPr>
          <w:rFonts w:ascii="Calibri" w:hAnsi="Calibri" w:cs="Calibri"/>
          <w:sz w:val="22"/>
        </w:rPr>
        <w:t xml:space="preserve"> poses negligible risks to the health and safety of people or the environment. However, general conditions have been imposed to ensure that there is ongoing oversight of the </w:t>
      </w:r>
      <w:r w:rsidR="003B6B34">
        <w:rPr>
          <w:rFonts w:ascii="Calibri" w:hAnsi="Calibri" w:cs="Calibri"/>
          <w:sz w:val="22"/>
        </w:rPr>
        <w:t>commercial supply</w:t>
      </w:r>
      <w:r w:rsidRPr="003B6B34">
        <w:rPr>
          <w:rFonts w:ascii="Calibri" w:hAnsi="Calibri" w:cs="Calibri"/>
          <w:sz w:val="22"/>
        </w:rPr>
        <w:t>.</w:t>
      </w:r>
    </w:p>
    <w:p w14:paraId="2908F369" w14:textId="77777777" w:rsidR="006F175C" w:rsidRPr="003B6B34" w:rsidRDefault="00EE58C1" w:rsidP="006F175C">
      <w:pPr>
        <w:keepNext/>
        <w:spacing w:before="120"/>
        <w:rPr>
          <w:rFonts w:ascii="Calibri" w:hAnsi="Calibri" w:cs="Calibri"/>
          <w:b/>
          <w:sz w:val="22"/>
          <w:szCs w:val="22"/>
        </w:rPr>
      </w:pPr>
      <w:r w:rsidRPr="003B6B34">
        <w:rPr>
          <w:rFonts w:ascii="Calibri" w:hAnsi="Calibri" w:cs="Calibri"/>
          <w:b/>
          <w:sz w:val="22"/>
          <w:szCs w:val="22"/>
        </w:rPr>
        <w:t>Want more information</w:t>
      </w:r>
      <w:r w:rsidR="006F175C" w:rsidRPr="003B6B34">
        <w:rPr>
          <w:rFonts w:ascii="Calibri" w:hAnsi="Calibri" w:cs="Calibri"/>
          <w:b/>
          <w:sz w:val="22"/>
          <w:szCs w:val="22"/>
        </w:rPr>
        <w:t>?</w:t>
      </w:r>
    </w:p>
    <w:p w14:paraId="576EC0E2" w14:textId="360DC858" w:rsidR="00EE58C1" w:rsidRPr="003B6B34" w:rsidRDefault="00EE58C1" w:rsidP="00EE58C1">
      <w:pPr>
        <w:keepNext/>
        <w:spacing w:before="120"/>
        <w:rPr>
          <w:rFonts w:ascii="Calibri" w:hAnsi="Calibri" w:cs="Calibri"/>
          <w:sz w:val="22"/>
          <w:szCs w:val="22"/>
        </w:rPr>
      </w:pPr>
      <w:r w:rsidRPr="003B6B34">
        <w:rPr>
          <w:rFonts w:ascii="Calibri" w:hAnsi="Calibri" w:cs="Calibri"/>
          <w:sz w:val="22"/>
          <w:szCs w:val="22"/>
        </w:rPr>
        <w:t>A number of documents relating to this decision are available on the</w:t>
      </w:r>
      <w:r w:rsidR="001E7287" w:rsidRPr="003B6B34">
        <w:rPr>
          <w:rFonts w:ascii="Calibri" w:hAnsi="Calibri" w:cs="Calibri"/>
          <w:sz w:val="22"/>
          <w:szCs w:val="22"/>
        </w:rPr>
        <w:t xml:space="preserve"> </w:t>
      </w:r>
      <w:hyperlink r:id="rId8" w:history="1">
        <w:r w:rsidR="003B6B34" w:rsidRPr="003B6B34">
          <w:rPr>
            <w:rStyle w:val="Hyperlink"/>
            <w:rFonts w:ascii="Calibri" w:hAnsi="Calibri" w:cs="Calibri"/>
            <w:color w:val="auto"/>
            <w:sz w:val="22"/>
            <w:szCs w:val="22"/>
          </w:rPr>
          <w:t>DIR-196</w:t>
        </w:r>
      </w:hyperlink>
      <w:r w:rsidR="003B6B34" w:rsidRPr="003B6B34">
        <w:rPr>
          <w:rStyle w:val="Hyperlink"/>
          <w:rFonts w:ascii="Calibri" w:hAnsi="Calibri" w:cs="Calibri"/>
          <w:color w:val="auto"/>
          <w:sz w:val="22"/>
          <w:szCs w:val="22"/>
          <w:u w:val="none"/>
        </w:rPr>
        <w:t xml:space="preserve"> </w:t>
      </w:r>
      <w:r w:rsidRPr="003B6B34">
        <w:rPr>
          <w:rFonts w:ascii="Calibri" w:hAnsi="Calibri" w:cs="Calibri"/>
          <w:sz w:val="22"/>
          <w:szCs w:val="22"/>
        </w:rPr>
        <w:t xml:space="preserve">page of the OGTR website or via </w:t>
      </w:r>
      <w:proofErr w:type="spellStart"/>
      <w:r w:rsidRPr="003B6B34">
        <w:rPr>
          <w:rFonts w:ascii="Calibri" w:hAnsi="Calibri" w:cs="Calibri"/>
          <w:sz w:val="22"/>
          <w:szCs w:val="22"/>
        </w:rPr>
        <w:t>Freecall</w:t>
      </w:r>
      <w:proofErr w:type="spellEnd"/>
      <w:r w:rsidRPr="003B6B34">
        <w:rPr>
          <w:rFonts w:ascii="Calibri" w:hAnsi="Calibri" w:cs="Calibri"/>
          <w:sz w:val="22"/>
          <w:szCs w:val="22"/>
        </w:rPr>
        <w:t xml:space="preserve"> 1800 181 030. These documents include the finalised </w:t>
      </w:r>
      <w:r w:rsidR="007E48D3" w:rsidRPr="003B6B34">
        <w:rPr>
          <w:rFonts w:ascii="Calibri" w:hAnsi="Calibri" w:cs="Calibri"/>
          <w:sz w:val="22"/>
          <w:szCs w:val="22"/>
        </w:rPr>
        <w:t>Risk Assessment and Risk Management Plan (</w:t>
      </w:r>
      <w:r w:rsidRPr="003B6B34">
        <w:rPr>
          <w:rFonts w:ascii="Calibri" w:hAnsi="Calibri" w:cs="Calibri"/>
          <w:sz w:val="22"/>
          <w:szCs w:val="22"/>
        </w:rPr>
        <w:t>RARMP</w:t>
      </w:r>
      <w:r w:rsidR="007E48D3" w:rsidRPr="003B6B34">
        <w:rPr>
          <w:rFonts w:ascii="Calibri" w:hAnsi="Calibri" w:cs="Calibri"/>
          <w:sz w:val="22"/>
          <w:szCs w:val="22"/>
        </w:rPr>
        <w:t>)</w:t>
      </w:r>
      <w:r w:rsidRPr="003B6B34">
        <w:rPr>
          <w:rFonts w:ascii="Calibri" w:hAnsi="Calibri" w:cs="Calibri"/>
          <w:sz w:val="22"/>
          <w:szCs w:val="22"/>
        </w:rPr>
        <w:t xml:space="preserve">, a summary of the RARMP </w:t>
      </w:r>
      <w:r w:rsidRPr="003B6B34">
        <w:rPr>
          <w:rFonts w:ascii="Calibri" w:hAnsi="Calibri" w:cs="Calibri"/>
          <w:sz w:val="22"/>
        </w:rPr>
        <w:t>and the licence</w:t>
      </w:r>
      <w:r w:rsidRPr="003B6B34">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506462" w:rsidRPr="001D3903" w:rsidRDefault="00483BBD"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BB8C" w14:textId="77777777" w:rsidR="0057652E" w:rsidRDefault="0057652E">
      <w:r>
        <w:separator/>
      </w:r>
    </w:p>
  </w:endnote>
  <w:endnote w:type="continuationSeparator" w:id="0">
    <w:p w14:paraId="30D685FD" w14:textId="77777777" w:rsidR="0057652E" w:rsidRDefault="0057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81A7" w14:textId="7B98165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B6B34">
      <w:rPr>
        <w:rStyle w:val="PageNumber"/>
        <w:noProof/>
        <w:sz w:val="22"/>
        <w:szCs w:val="22"/>
      </w:rPr>
      <w:t>2</w:t>
    </w:r>
    <w:r>
      <w:rPr>
        <w:rStyle w:val="PageNumber"/>
        <w:sz w:val="22"/>
        <w:szCs w:val="22"/>
      </w:rPr>
      <w:fldChar w:fldCharType="end"/>
    </w:r>
  </w:p>
  <w:p w14:paraId="0266A53C" w14:textId="77777777" w:rsidR="00F666BA" w:rsidRDefault="00483BBD">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4D5E" w14:textId="0B349DD9" w:rsidR="00F666BA" w:rsidRPr="009A650E" w:rsidRDefault="006F175C">
    <w:pPr>
      <w:pStyle w:val="Footer"/>
      <w:framePr w:wrap="around" w:vAnchor="text" w:hAnchor="margin" w:xAlign="right" w:y="1"/>
      <w:rPr>
        <w:rStyle w:val="PageNumber"/>
        <w:rFonts w:asciiTheme="minorHAnsi" w:hAnsiTheme="minorHAnsi" w:cstheme="minorHAnsi"/>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F666BA" w:rsidRPr="009A650E" w:rsidRDefault="006F175C">
    <w:pPr>
      <w:pStyle w:val="Footer"/>
      <w:ind w:right="360"/>
      <w:jc w:val="center"/>
      <w:rPr>
        <w:rFonts w:asciiTheme="minorHAnsi" w:hAnsiTheme="minorHAnsi" w:cstheme="minorHAnsi"/>
        <w:sz w:val="20"/>
      </w:rPr>
    </w:pPr>
    <w:r w:rsidRPr="009A650E">
      <w:rPr>
        <w:rFonts w:asciiTheme="minorHAnsi" w:hAnsiTheme="minorHAnsi" w:cstheme="minorHAnsi"/>
        <w:sz w:val="20"/>
      </w:rPr>
      <w:t>Office of the Gene Technology Regulator – Q&amp;A</w:t>
    </w:r>
    <w:r w:rsidRPr="009A650E">
      <w:rPr>
        <w:rFonts w:asciiTheme="minorHAnsi" w:hAnsiTheme="minorHAnsi"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9303" w14:textId="77777777" w:rsidR="0057652E" w:rsidRDefault="0057652E">
      <w:r>
        <w:separator/>
      </w:r>
    </w:p>
  </w:footnote>
  <w:footnote w:type="continuationSeparator" w:id="0">
    <w:p w14:paraId="36C493DB" w14:textId="77777777" w:rsidR="0057652E" w:rsidRDefault="0057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8E9" w14:textId="16652888" w:rsidR="007815FB" w:rsidRPr="003B6B34"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3B6B34" w:rsidRPr="003B6B34">
      <w:rPr>
        <w:rFonts w:asciiTheme="minorHAnsi" w:hAnsiTheme="minorHAnsi" w:cs="Arial (W1)"/>
        <w:sz w:val="18"/>
        <w:szCs w:val="18"/>
      </w:rPr>
      <w:t>November 2023</w:t>
    </w:r>
  </w:p>
  <w:p w14:paraId="77080CF8" w14:textId="6E5F2822" w:rsidR="00F666BA" w:rsidRPr="007815FB" w:rsidRDefault="00483BBD"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501166899">
    <w:abstractNumId w:val="0"/>
  </w:num>
  <w:num w:numId="2" w16cid:durableId="825437981">
    <w:abstractNumId w:val="2"/>
  </w:num>
  <w:num w:numId="3" w16cid:durableId="210556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2D8C"/>
    <w:rsid w:val="00054944"/>
    <w:rsid w:val="00057FDC"/>
    <w:rsid w:val="00082615"/>
    <w:rsid w:val="000A76D9"/>
    <w:rsid w:val="000B25FF"/>
    <w:rsid w:val="000B6DC4"/>
    <w:rsid w:val="000D02C2"/>
    <w:rsid w:val="000D222B"/>
    <w:rsid w:val="001057FE"/>
    <w:rsid w:val="001078B3"/>
    <w:rsid w:val="001111C7"/>
    <w:rsid w:val="00126445"/>
    <w:rsid w:val="0012712E"/>
    <w:rsid w:val="0015311C"/>
    <w:rsid w:val="001564D8"/>
    <w:rsid w:val="0017627F"/>
    <w:rsid w:val="00177770"/>
    <w:rsid w:val="001A621F"/>
    <w:rsid w:val="001B6D3B"/>
    <w:rsid w:val="001D2881"/>
    <w:rsid w:val="001D2D29"/>
    <w:rsid w:val="001D3903"/>
    <w:rsid w:val="001D6B5E"/>
    <w:rsid w:val="001E7287"/>
    <w:rsid w:val="001E7C07"/>
    <w:rsid w:val="0020040F"/>
    <w:rsid w:val="002042D1"/>
    <w:rsid w:val="00207F1C"/>
    <w:rsid w:val="0021365A"/>
    <w:rsid w:val="0022466F"/>
    <w:rsid w:val="0023033D"/>
    <w:rsid w:val="00234B18"/>
    <w:rsid w:val="00244B6A"/>
    <w:rsid w:val="00257811"/>
    <w:rsid w:val="002665D8"/>
    <w:rsid w:val="00280A30"/>
    <w:rsid w:val="00285AAA"/>
    <w:rsid w:val="0028630B"/>
    <w:rsid w:val="0028698E"/>
    <w:rsid w:val="00292330"/>
    <w:rsid w:val="002B3EC8"/>
    <w:rsid w:val="002B4670"/>
    <w:rsid w:val="002D736D"/>
    <w:rsid w:val="002E0174"/>
    <w:rsid w:val="002E3655"/>
    <w:rsid w:val="002F0657"/>
    <w:rsid w:val="00306A47"/>
    <w:rsid w:val="00311991"/>
    <w:rsid w:val="0031412A"/>
    <w:rsid w:val="0033318E"/>
    <w:rsid w:val="00334006"/>
    <w:rsid w:val="00335599"/>
    <w:rsid w:val="0035429C"/>
    <w:rsid w:val="00386B5F"/>
    <w:rsid w:val="0038710E"/>
    <w:rsid w:val="003A0298"/>
    <w:rsid w:val="003A649E"/>
    <w:rsid w:val="003B4298"/>
    <w:rsid w:val="003B57B0"/>
    <w:rsid w:val="003B6B34"/>
    <w:rsid w:val="003B6CDE"/>
    <w:rsid w:val="003C0DFE"/>
    <w:rsid w:val="003C1AA1"/>
    <w:rsid w:val="003C4F07"/>
    <w:rsid w:val="003D22FE"/>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3BBD"/>
    <w:rsid w:val="004877B5"/>
    <w:rsid w:val="00496FF5"/>
    <w:rsid w:val="004A6C2F"/>
    <w:rsid w:val="004C0276"/>
    <w:rsid w:val="004C0831"/>
    <w:rsid w:val="004C29F5"/>
    <w:rsid w:val="004C412B"/>
    <w:rsid w:val="004E445E"/>
    <w:rsid w:val="005010B2"/>
    <w:rsid w:val="0051167D"/>
    <w:rsid w:val="00511CC5"/>
    <w:rsid w:val="00516D2F"/>
    <w:rsid w:val="00516EC1"/>
    <w:rsid w:val="005214DA"/>
    <w:rsid w:val="0053350A"/>
    <w:rsid w:val="005446D7"/>
    <w:rsid w:val="005657F7"/>
    <w:rsid w:val="00566D27"/>
    <w:rsid w:val="005722D3"/>
    <w:rsid w:val="005750F5"/>
    <w:rsid w:val="00575690"/>
    <w:rsid w:val="0057652E"/>
    <w:rsid w:val="005779B3"/>
    <w:rsid w:val="00583C62"/>
    <w:rsid w:val="005862FF"/>
    <w:rsid w:val="00586AEF"/>
    <w:rsid w:val="00593ECD"/>
    <w:rsid w:val="005A126F"/>
    <w:rsid w:val="005B0261"/>
    <w:rsid w:val="005B643B"/>
    <w:rsid w:val="005C4078"/>
    <w:rsid w:val="005C6574"/>
    <w:rsid w:val="005C79C1"/>
    <w:rsid w:val="0060459D"/>
    <w:rsid w:val="00607C3D"/>
    <w:rsid w:val="006121FD"/>
    <w:rsid w:val="006147F4"/>
    <w:rsid w:val="006239FB"/>
    <w:rsid w:val="00627DB6"/>
    <w:rsid w:val="00637E12"/>
    <w:rsid w:val="00644F55"/>
    <w:rsid w:val="00645D95"/>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36EB"/>
    <w:rsid w:val="00714A4E"/>
    <w:rsid w:val="00715696"/>
    <w:rsid w:val="00723BF5"/>
    <w:rsid w:val="00737F26"/>
    <w:rsid w:val="007431B7"/>
    <w:rsid w:val="0074468E"/>
    <w:rsid w:val="00751B95"/>
    <w:rsid w:val="00764A99"/>
    <w:rsid w:val="0077665A"/>
    <w:rsid w:val="00781185"/>
    <w:rsid w:val="007815FB"/>
    <w:rsid w:val="007820B5"/>
    <w:rsid w:val="007840A0"/>
    <w:rsid w:val="007A6342"/>
    <w:rsid w:val="007B527B"/>
    <w:rsid w:val="007B576B"/>
    <w:rsid w:val="007B7EE5"/>
    <w:rsid w:val="007D5030"/>
    <w:rsid w:val="007D6832"/>
    <w:rsid w:val="007D6E24"/>
    <w:rsid w:val="007E48D3"/>
    <w:rsid w:val="0080031E"/>
    <w:rsid w:val="00815B15"/>
    <w:rsid w:val="00817F07"/>
    <w:rsid w:val="0084110A"/>
    <w:rsid w:val="00857B18"/>
    <w:rsid w:val="008615BD"/>
    <w:rsid w:val="00893FF2"/>
    <w:rsid w:val="008C5202"/>
    <w:rsid w:val="008D2F5F"/>
    <w:rsid w:val="008D3A69"/>
    <w:rsid w:val="00911676"/>
    <w:rsid w:val="009241B9"/>
    <w:rsid w:val="0095654B"/>
    <w:rsid w:val="00960950"/>
    <w:rsid w:val="00973055"/>
    <w:rsid w:val="0097681E"/>
    <w:rsid w:val="0098602D"/>
    <w:rsid w:val="0099229E"/>
    <w:rsid w:val="009A650E"/>
    <w:rsid w:val="009B71CF"/>
    <w:rsid w:val="009E614B"/>
    <w:rsid w:val="009E7280"/>
    <w:rsid w:val="009F61C9"/>
    <w:rsid w:val="00A022EA"/>
    <w:rsid w:val="00A15798"/>
    <w:rsid w:val="00A172B7"/>
    <w:rsid w:val="00A20FA2"/>
    <w:rsid w:val="00A27912"/>
    <w:rsid w:val="00A35004"/>
    <w:rsid w:val="00A35EBD"/>
    <w:rsid w:val="00A50456"/>
    <w:rsid w:val="00A5746A"/>
    <w:rsid w:val="00A62445"/>
    <w:rsid w:val="00A7277F"/>
    <w:rsid w:val="00AA253B"/>
    <w:rsid w:val="00AB3A1C"/>
    <w:rsid w:val="00AB4596"/>
    <w:rsid w:val="00AB504C"/>
    <w:rsid w:val="00AC41D2"/>
    <w:rsid w:val="00AD4EE3"/>
    <w:rsid w:val="00AD5ECA"/>
    <w:rsid w:val="00AE7741"/>
    <w:rsid w:val="00AF652F"/>
    <w:rsid w:val="00B00257"/>
    <w:rsid w:val="00B0451F"/>
    <w:rsid w:val="00B04978"/>
    <w:rsid w:val="00B24092"/>
    <w:rsid w:val="00B304F0"/>
    <w:rsid w:val="00B34CBB"/>
    <w:rsid w:val="00B41006"/>
    <w:rsid w:val="00B41B42"/>
    <w:rsid w:val="00B84A99"/>
    <w:rsid w:val="00B87FB9"/>
    <w:rsid w:val="00BD4529"/>
    <w:rsid w:val="00BD4847"/>
    <w:rsid w:val="00BD579A"/>
    <w:rsid w:val="00BE1669"/>
    <w:rsid w:val="00BF02A3"/>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87068"/>
    <w:rsid w:val="00D91189"/>
    <w:rsid w:val="00D91A16"/>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10772"/>
    <w:rsid w:val="00F1396F"/>
    <w:rsid w:val="00F13FA8"/>
    <w:rsid w:val="00F1531A"/>
    <w:rsid w:val="00F42720"/>
    <w:rsid w:val="00F43AE6"/>
    <w:rsid w:val="00F549CD"/>
    <w:rsid w:val="00F64537"/>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3B6B34"/>
    <w:rPr>
      <w:color w:val="605E5C"/>
      <w:shd w:val="clear" w:color="auto" w:fill="E1DFDD"/>
    </w:rPr>
  </w:style>
  <w:style w:type="paragraph" w:styleId="Revision">
    <w:name w:val="Revision"/>
    <w:hidden/>
    <w:uiPriority w:val="99"/>
    <w:semiHidden/>
    <w:rsid w:val="00052D8C"/>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DIR 196 Questions and Answers</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196 - Questions and Answers on licence decision</dc:title>
  <dc:creator/>
  <cp:lastModifiedBy/>
  <cp:revision>1</cp:revision>
  <dcterms:created xsi:type="dcterms:W3CDTF">2023-11-28T05:33:00Z</dcterms:created>
  <dcterms:modified xsi:type="dcterms:W3CDTF">2023-11-28T05:33:00Z</dcterms:modified>
</cp:coreProperties>
</file>