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6794" w14:textId="1FE90D48" w:rsidR="00A95E0D" w:rsidRPr="00A95E0D" w:rsidRDefault="00A95E0D" w:rsidP="00A95E0D">
      <w:pPr>
        <w:jc w:val="right"/>
      </w:pPr>
      <w:bookmarkStart w:id="0" w:name="_Toc151567329"/>
      <w:r w:rsidRPr="00A95E0D">
        <w:t>November 2023</w:t>
      </w:r>
    </w:p>
    <w:p w14:paraId="774A854F" w14:textId="51599EAE" w:rsidR="00A95E0D" w:rsidRDefault="00A95E0D" w:rsidP="00A95E0D">
      <w:pPr>
        <w:pStyle w:val="Heading1"/>
        <w:spacing w:after="120"/>
        <w:jc w:val="center"/>
      </w:pPr>
      <w:r>
        <w:t>Summary of the Risk Assessment and Risk Management Plan</w:t>
      </w:r>
      <w:bookmarkEnd w:id="0"/>
    </w:p>
    <w:p w14:paraId="00E921FD" w14:textId="77777777" w:rsidR="00A95E0D" w:rsidRPr="0073687D" w:rsidRDefault="00A95E0D" w:rsidP="00A95E0D">
      <w:pPr>
        <w:jc w:val="center"/>
        <w:rPr>
          <w:b/>
          <w:bCs/>
          <w:sz w:val="36"/>
          <w:szCs w:val="36"/>
        </w:rPr>
      </w:pPr>
      <w:r w:rsidRPr="0073687D">
        <w:rPr>
          <w:b/>
          <w:bCs/>
          <w:sz w:val="36"/>
          <w:szCs w:val="36"/>
        </w:rPr>
        <w:t>for</w:t>
      </w:r>
    </w:p>
    <w:p w14:paraId="0AC984CF" w14:textId="77777777" w:rsidR="00A95E0D" w:rsidRPr="0073687D" w:rsidRDefault="00A95E0D" w:rsidP="00A95E0D">
      <w:pPr>
        <w:jc w:val="center"/>
        <w:rPr>
          <w:b/>
          <w:bCs/>
          <w:sz w:val="36"/>
          <w:szCs w:val="36"/>
        </w:rPr>
      </w:pPr>
      <w:r w:rsidRPr="0073687D">
        <w:rPr>
          <w:b/>
          <w:bCs/>
          <w:sz w:val="36"/>
          <w:szCs w:val="36"/>
        </w:rPr>
        <w:t>Licence Application No. DIR 19</w:t>
      </w:r>
      <w:r>
        <w:rPr>
          <w:b/>
          <w:bCs/>
          <w:sz w:val="36"/>
          <w:szCs w:val="36"/>
        </w:rPr>
        <w:t>6</w:t>
      </w:r>
    </w:p>
    <w:p w14:paraId="6FF8BEE2" w14:textId="77777777" w:rsidR="00A95E0D" w:rsidRPr="007614AC" w:rsidRDefault="00A95E0D" w:rsidP="00A95E0D">
      <w:pPr>
        <w:rPr>
          <w:b/>
          <w:bCs/>
          <w:i/>
          <w:iCs/>
          <w:lang w:eastAsia="en-AU"/>
        </w:rPr>
      </w:pPr>
      <w:r>
        <w:rPr>
          <w:b/>
          <w:bCs/>
          <w:i/>
          <w:iCs/>
          <w:lang w:eastAsia="en-AU"/>
        </w:rPr>
        <w:t>Decision</w:t>
      </w:r>
    </w:p>
    <w:p w14:paraId="34BFC699" w14:textId="77777777" w:rsidR="00A95E0D" w:rsidRDefault="00A95E0D" w:rsidP="00A95E0D">
      <w:pPr>
        <w:rPr>
          <w:lang w:eastAsia="en-AU"/>
        </w:rPr>
      </w:pPr>
      <w:r w:rsidRPr="00E06304">
        <w:rPr>
          <w:lang w:eastAsia="en-AU"/>
        </w:rPr>
        <w:t xml:space="preserve">The Gene Technology Regulator (the Regulator) has </w:t>
      </w:r>
      <w:r>
        <w:rPr>
          <w:lang w:eastAsia="en-AU"/>
        </w:rPr>
        <w:t>decided to issue a licence</w:t>
      </w:r>
      <w:r w:rsidRPr="00E06304">
        <w:rPr>
          <w:lang w:eastAsia="en-AU"/>
        </w:rPr>
        <w:t xml:space="preserve"> for the </w:t>
      </w:r>
      <w:r>
        <w:rPr>
          <w:lang w:eastAsia="en-AU"/>
        </w:rPr>
        <w:t>import, transport, storage, and disposal of a genetically modified (GM) vaccine, Qdenga, as part of its commercial supply in Australia as a human vaccine against dengue virus</w:t>
      </w:r>
      <w:r w:rsidRPr="00E06304">
        <w:rPr>
          <w:lang w:eastAsia="en-AU"/>
        </w:rPr>
        <w:t>.</w:t>
      </w:r>
      <w:r>
        <w:rPr>
          <w:lang w:eastAsia="en-AU"/>
        </w:rPr>
        <w:t xml:space="preserve"> </w:t>
      </w:r>
      <w:r>
        <w:rPr>
          <w:rFonts w:asciiTheme="minorHAnsi" w:hAnsiTheme="minorHAnsi"/>
        </w:rPr>
        <w:t>The vaccine is intended to be available under prescription for people travelling to dengue-affected areas.</w:t>
      </w:r>
    </w:p>
    <w:p w14:paraId="3C329966" w14:textId="77777777" w:rsidR="00A95E0D" w:rsidRDefault="00A95E0D" w:rsidP="00A95E0D">
      <w:pPr>
        <w:rPr>
          <w:lang w:eastAsia="en-AU"/>
        </w:rPr>
      </w:pPr>
      <w:r w:rsidRPr="00760BD0">
        <w:rPr>
          <w:lang w:eastAsia="en-AU"/>
        </w:rPr>
        <w:t>Before Qdenga can be registered as a human vaccine, its quality, safety, and efficacy must be assessed by the Therapeutic Goods Administration (TGA). If registered as a human vaccine, the TGA may impose conditions relating to the use and labelling of the GM vaccine. As Qdenga is manufactured overseas, a permit from the Department of Agriculture, Fisheries and Forestry will be required for its import into Australia.</w:t>
      </w:r>
    </w:p>
    <w:p w14:paraId="7C33B245" w14:textId="78A008B8" w:rsidR="00A95E0D" w:rsidRDefault="00781417" w:rsidP="00A95E0D">
      <w:pPr>
        <w:rPr>
          <w:lang w:eastAsia="en-AU"/>
        </w:rPr>
      </w:pPr>
      <w:r>
        <w:rPr>
          <w:szCs w:val="24"/>
        </w:rPr>
        <w:t>A</w:t>
      </w:r>
      <w:r w:rsidRPr="00DE3E22">
        <w:rPr>
          <w:szCs w:val="24"/>
        </w:rPr>
        <w:t xml:space="preserve"> Ri</w:t>
      </w:r>
      <w:r w:rsidRPr="009E68C6">
        <w:rPr>
          <w:color w:val="000000" w:themeColor="text1"/>
          <w:szCs w:val="24"/>
        </w:rPr>
        <w:t>sk Assessment and Risk Management Plan (RARMP) for this application</w:t>
      </w:r>
      <w:r w:rsidRPr="00DE3E22">
        <w:rPr>
          <w:szCs w:val="24"/>
        </w:rPr>
        <w:t xml:space="preserve"> has </w:t>
      </w:r>
      <w:r>
        <w:rPr>
          <w:szCs w:val="24"/>
        </w:rPr>
        <w:t xml:space="preserve">been </w:t>
      </w:r>
      <w:r w:rsidRPr="00DE3E22">
        <w:rPr>
          <w:szCs w:val="24"/>
        </w:rPr>
        <w:t>prepared</w:t>
      </w:r>
      <w:r w:rsidRPr="00DE3E22" w:rsidDel="002F4DCA">
        <w:rPr>
          <w:szCs w:val="24"/>
        </w:rPr>
        <w:t xml:space="preserve"> </w:t>
      </w:r>
      <w:r>
        <w:rPr>
          <w:szCs w:val="24"/>
        </w:rPr>
        <w:t>by t</w:t>
      </w:r>
      <w:r w:rsidRPr="00DE3E22">
        <w:rPr>
          <w:szCs w:val="24"/>
        </w:rPr>
        <w:t xml:space="preserve">he Regulator </w:t>
      </w:r>
      <w:r>
        <w:rPr>
          <w:szCs w:val="24"/>
        </w:rPr>
        <w:t xml:space="preserve">in accordance with </w:t>
      </w:r>
      <w:r w:rsidRPr="00DE3E22">
        <w:rPr>
          <w:szCs w:val="24"/>
        </w:rPr>
        <w:t xml:space="preserve">the </w:t>
      </w:r>
      <w:r w:rsidRPr="00BD0909">
        <w:rPr>
          <w:i/>
          <w:iCs/>
          <w:szCs w:val="24"/>
        </w:rPr>
        <w:t>Gene Technology Act 2000</w:t>
      </w:r>
      <w:r w:rsidRPr="00DE3E22">
        <w:rPr>
          <w:szCs w:val="24"/>
        </w:rPr>
        <w:t xml:space="preserve"> (the Act)</w:t>
      </w:r>
      <w:r>
        <w:rPr>
          <w:szCs w:val="24"/>
        </w:rPr>
        <w:t xml:space="preserve"> and corresponding state and territory legislation, and finalised following consultation with a wide range of experts, agencies and authorities, and the public</w:t>
      </w:r>
      <w:r w:rsidRPr="00DE3E22">
        <w:rPr>
          <w:szCs w:val="24"/>
        </w:rPr>
        <w:t xml:space="preserve">. </w:t>
      </w:r>
      <w:r>
        <w:rPr>
          <w:szCs w:val="24"/>
        </w:rPr>
        <w:t>The RARMP concluded that</w:t>
      </w:r>
      <w:r w:rsidRPr="00E06304">
        <w:rPr>
          <w:lang w:eastAsia="en-AU"/>
        </w:rPr>
        <w:t xml:space="preserve"> the proposed </w:t>
      </w:r>
      <w:r>
        <w:rPr>
          <w:lang w:eastAsia="en-AU"/>
        </w:rPr>
        <w:t>commercial supply of the GM vaccine</w:t>
      </w:r>
      <w:r w:rsidRPr="00E06304">
        <w:rPr>
          <w:lang w:eastAsia="en-AU"/>
        </w:rPr>
        <w:t xml:space="preserve"> poses</w:t>
      </w:r>
      <w:r>
        <w:rPr>
          <w:lang w:eastAsia="en-AU"/>
        </w:rPr>
        <w:t xml:space="preserve"> negligible risks to human health and safety and the environment, and no specific risk treatment measures are required</w:t>
      </w:r>
      <w:r w:rsidRPr="00E06304">
        <w:rPr>
          <w:lang w:eastAsia="en-AU"/>
        </w:rPr>
        <w:t xml:space="preserve">. </w:t>
      </w:r>
      <w:r>
        <w:rPr>
          <w:lang w:eastAsia="en-AU"/>
        </w:rPr>
        <w:t>However, general l</w:t>
      </w:r>
      <w:r w:rsidRPr="00E06304">
        <w:rPr>
          <w:lang w:eastAsia="en-AU"/>
        </w:rPr>
        <w:t xml:space="preserve">icence conditions have been </w:t>
      </w:r>
      <w:r>
        <w:rPr>
          <w:lang w:eastAsia="en-AU"/>
        </w:rPr>
        <w:t>imposed</w:t>
      </w:r>
      <w:r w:rsidRPr="00E06304">
        <w:rPr>
          <w:lang w:eastAsia="en-AU"/>
        </w:rPr>
        <w:t xml:space="preserve"> </w:t>
      </w:r>
      <w:r>
        <w:rPr>
          <w:lang w:eastAsia="en-AU"/>
        </w:rPr>
        <w:t>to ensure there is ongoing oversight of the release</w:t>
      </w:r>
      <w:r w:rsidRPr="00E06304">
        <w:rPr>
          <w:lang w:eastAsia="en-AU"/>
        </w:rPr>
        <w:t>.</w:t>
      </w:r>
    </w:p>
    <w:p w14:paraId="664B0790" w14:textId="77777777" w:rsidR="00A95E0D" w:rsidRDefault="00A95E0D" w:rsidP="00A95E0D">
      <w:pPr>
        <w:rPr>
          <w:b/>
          <w:bCs/>
          <w:i/>
          <w:iCs/>
          <w:lang w:eastAsia="en-AU"/>
        </w:rPr>
      </w:pPr>
      <w:r w:rsidRPr="007614AC">
        <w:rPr>
          <w:b/>
          <w:bCs/>
          <w:i/>
          <w:iCs/>
          <w:lang w:eastAsia="en-AU"/>
        </w:rPr>
        <w:t>The application</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358"/>
      </w:tblGrid>
      <w:tr w:rsidR="00A95E0D" w:rsidRPr="002E4447" w14:paraId="39D1E4DF" w14:textId="77777777" w:rsidTr="00A95E0D">
        <w:trPr>
          <w:jc w:val="center"/>
        </w:trPr>
        <w:tc>
          <w:tcPr>
            <w:tcW w:w="2263" w:type="dxa"/>
          </w:tcPr>
          <w:p w14:paraId="676DFAF3" w14:textId="77777777" w:rsidR="00A95E0D" w:rsidRPr="00422A6D" w:rsidRDefault="00A95E0D" w:rsidP="006B5E8C">
            <w:pPr>
              <w:pStyle w:val="LEFTLIST"/>
              <w:keepNext w:val="0"/>
              <w:widowControl w:val="0"/>
              <w:spacing w:before="60" w:after="60"/>
              <w:rPr>
                <w:rFonts w:ascii="Calibri" w:hAnsi="Calibri"/>
                <w:i/>
              </w:rPr>
            </w:pPr>
            <w:r w:rsidRPr="00422A6D">
              <w:rPr>
                <w:rFonts w:ascii="Calibri" w:hAnsi="Calibri"/>
                <w:i/>
              </w:rPr>
              <w:t>Project Title</w:t>
            </w:r>
          </w:p>
        </w:tc>
        <w:tc>
          <w:tcPr>
            <w:tcW w:w="7358" w:type="dxa"/>
          </w:tcPr>
          <w:p w14:paraId="01411BBD" w14:textId="77777777" w:rsidR="00A95E0D" w:rsidRPr="00105554" w:rsidRDefault="00A95E0D" w:rsidP="006B5E8C">
            <w:pPr>
              <w:pStyle w:val="RIGHTLIST"/>
              <w:widowControl w:val="0"/>
              <w:spacing w:before="60" w:after="60"/>
              <w:rPr>
                <w:rFonts w:ascii="Calibri" w:hAnsi="Calibri"/>
              </w:rPr>
            </w:pPr>
            <w:r w:rsidRPr="00105554">
              <w:rPr>
                <w:rFonts w:ascii="Calibri" w:hAnsi="Calibri"/>
              </w:rPr>
              <w:t>Commercial supply of Qdenga, a live attenuated GM dengue vaccine</w:t>
            </w:r>
          </w:p>
        </w:tc>
      </w:tr>
      <w:tr w:rsidR="00A95E0D" w:rsidRPr="002E4447" w14:paraId="6BF45413" w14:textId="77777777" w:rsidTr="00A95E0D">
        <w:trPr>
          <w:trHeight w:val="346"/>
          <w:jc w:val="center"/>
        </w:trPr>
        <w:tc>
          <w:tcPr>
            <w:tcW w:w="2263" w:type="dxa"/>
          </w:tcPr>
          <w:p w14:paraId="4446163B" w14:textId="77777777" w:rsidR="00A95E0D" w:rsidRPr="00422A6D" w:rsidRDefault="00A95E0D" w:rsidP="006B5E8C">
            <w:pPr>
              <w:pStyle w:val="LEFTLIST"/>
              <w:keepNext w:val="0"/>
              <w:widowControl w:val="0"/>
              <w:spacing w:before="40"/>
              <w:rPr>
                <w:rFonts w:ascii="Calibri" w:hAnsi="Calibri"/>
                <w:i/>
              </w:rPr>
            </w:pPr>
            <w:r w:rsidRPr="00422A6D">
              <w:rPr>
                <w:rFonts w:ascii="Calibri" w:hAnsi="Calibri"/>
                <w:i/>
              </w:rPr>
              <w:t>Parent organism</w:t>
            </w:r>
          </w:p>
        </w:tc>
        <w:tc>
          <w:tcPr>
            <w:tcW w:w="7358" w:type="dxa"/>
          </w:tcPr>
          <w:p w14:paraId="4FCFA4DB" w14:textId="77777777" w:rsidR="00A95E0D" w:rsidRPr="007765FB" w:rsidRDefault="00A95E0D" w:rsidP="006B5E8C">
            <w:pPr>
              <w:pStyle w:val="RIGHTLIST"/>
              <w:keepNext w:val="0"/>
              <w:widowControl w:val="0"/>
              <w:spacing w:before="60" w:after="60"/>
              <w:rPr>
                <w:rFonts w:ascii="Calibri" w:hAnsi="Calibri"/>
              </w:rPr>
            </w:pPr>
            <w:r w:rsidRPr="00105554">
              <w:rPr>
                <w:rFonts w:ascii="Calibri" w:hAnsi="Calibri"/>
              </w:rPr>
              <w:t>Dengue virus s</w:t>
            </w:r>
            <w:r>
              <w:rPr>
                <w:rFonts w:ascii="Calibri" w:hAnsi="Calibri"/>
              </w:rPr>
              <w:t>erotype 2 strain PDK-53</w:t>
            </w:r>
          </w:p>
        </w:tc>
      </w:tr>
      <w:tr w:rsidR="00A95E0D" w:rsidRPr="002E4447" w14:paraId="5AD8604C" w14:textId="77777777" w:rsidTr="00A95E0D">
        <w:trPr>
          <w:trHeight w:val="346"/>
          <w:jc w:val="center"/>
        </w:trPr>
        <w:tc>
          <w:tcPr>
            <w:tcW w:w="2263" w:type="dxa"/>
          </w:tcPr>
          <w:p w14:paraId="174A5A09" w14:textId="77777777" w:rsidR="00A95E0D" w:rsidRPr="00422A6D" w:rsidRDefault="00A95E0D" w:rsidP="006B5E8C">
            <w:pPr>
              <w:pStyle w:val="LEFTLIST"/>
              <w:keepNext w:val="0"/>
              <w:widowControl w:val="0"/>
              <w:spacing w:before="40"/>
              <w:rPr>
                <w:rFonts w:ascii="Calibri" w:hAnsi="Calibri"/>
                <w:i/>
              </w:rPr>
            </w:pPr>
            <w:r>
              <w:rPr>
                <w:rFonts w:ascii="Calibri" w:hAnsi="Calibri"/>
                <w:i/>
              </w:rPr>
              <w:t>Modified trait</w:t>
            </w:r>
          </w:p>
        </w:tc>
        <w:tc>
          <w:tcPr>
            <w:tcW w:w="7358" w:type="dxa"/>
          </w:tcPr>
          <w:p w14:paraId="1A6CCBEF" w14:textId="77777777" w:rsidR="00A95E0D" w:rsidRPr="00105554" w:rsidRDefault="00A95E0D" w:rsidP="006B5E8C">
            <w:pPr>
              <w:pStyle w:val="RIGHTLIST"/>
              <w:keepNext w:val="0"/>
              <w:widowControl w:val="0"/>
              <w:spacing w:before="60" w:after="60"/>
              <w:rPr>
                <w:rFonts w:ascii="Calibri" w:hAnsi="Calibri"/>
              </w:rPr>
            </w:pPr>
            <w:r>
              <w:rPr>
                <w:rFonts w:ascii="Calibri" w:hAnsi="Calibri"/>
              </w:rPr>
              <w:t>Altered antigen expression</w:t>
            </w:r>
          </w:p>
        </w:tc>
      </w:tr>
      <w:tr w:rsidR="00A95E0D" w:rsidRPr="002E4447" w14:paraId="1B3CCF5D" w14:textId="77777777" w:rsidTr="00A95E0D">
        <w:trPr>
          <w:trHeight w:val="708"/>
          <w:jc w:val="center"/>
        </w:trPr>
        <w:tc>
          <w:tcPr>
            <w:tcW w:w="2263" w:type="dxa"/>
          </w:tcPr>
          <w:p w14:paraId="39F32099" w14:textId="77777777" w:rsidR="00A95E0D" w:rsidRPr="00753CF6" w:rsidRDefault="00A95E0D" w:rsidP="006B5E8C">
            <w:pPr>
              <w:pStyle w:val="LEFTLIST"/>
              <w:keepNext w:val="0"/>
              <w:widowControl w:val="0"/>
              <w:spacing w:before="40"/>
              <w:rPr>
                <w:rFonts w:ascii="Calibri" w:hAnsi="Calibri"/>
                <w:bCs w:val="0"/>
                <w:i/>
                <w:iCs/>
              </w:rPr>
            </w:pPr>
            <w:r w:rsidRPr="00753CF6">
              <w:rPr>
                <w:rFonts w:ascii="Calibri" w:hAnsi="Calibri"/>
                <w:bCs w:val="0"/>
                <w:i/>
                <w:iCs/>
              </w:rPr>
              <w:t>Genetic modification</w:t>
            </w:r>
          </w:p>
        </w:tc>
        <w:tc>
          <w:tcPr>
            <w:tcW w:w="7358" w:type="dxa"/>
          </w:tcPr>
          <w:p w14:paraId="3F365105" w14:textId="77777777" w:rsidR="00A95E0D" w:rsidRDefault="00A95E0D" w:rsidP="006B5E8C">
            <w:pPr>
              <w:pStyle w:val="RIGHTLIST"/>
              <w:keepNext w:val="0"/>
              <w:widowControl w:val="0"/>
              <w:spacing w:before="60" w:after="60"/>
              <w:rPr>
                <w:rFonts w:ascii="Calibri" w:hAnsi="Calibri"/>
              </w:rPr>
            </w:pPr>
            <w:r>
              <w:rPr>
                <w:rFonts w:ascii="Calibri" w:hAnsi="Calibri"/>
              </w:rPr>
              <w:t xml:space="preserve">A ‘strain’ is a genetic variant or subtype of a microorganism. Strains of dengue virus can also be categorised into 4 distinct ‘serotypes’ based on their surface antigen expression. </w:t>
            </w:r>
            <w:bookmarkStart w:id="1" w:name="_Hlk143508859"/>
            <w:r>
              <w:rPr>
                <w:rFonts w:ascii="Calibri" w:hAnsi="Calibri"/>
              </w:rPr>
              <w:t>The genetic backbone for the GMOs in this application is a non-GM dengue virus serotype 2 strain that has been attenuated (weakened) through spontaneous mutations that occurred during a subculturing process in tissue culture.</w:t>
            </w:r>
            <w:bookmarkEnd w:id="1"/>
          </w:p>
          <w:p w14:paraId="21CEF294" w14:textId="77777777" w:rsidR="00A95E0D" w:rsidRPr="007A05A7" w:rsidRDefault="00A95E0D" w:rsidP="006B5E8C">
            <w:pPr>
              <w:pStyle w:val="RIGHTLIST"/>
              <w:keepNext w:val="0"/>
              <w:widowControl w:val="0"/>
              <w:spacing w:before="60" w:after="60"/>
              <w:rPr>
                <w:rFonts w:ascii="Calibri" w:hAnsi="Calibri"/>
              </w:rPr>
            </w:pPr>
            <w:bookmarkStart w:id="2" w:name="_Hlk143508871"/>
            <w:r w:rsidRPr="00906F19">
              <w:rPr>
                <w:rFonts w:ascii="Calibri" w:hAnsi="Calibri"/>
              </w:rPr>
              <w:t xml:space="preserve">The vaccine contains 4 </w:t>
            </w:r>
            <w:r>
              <w:rPr>
                <w:rFonts w:ascii="Calibri" w:hAnsi="Calibri"/>
              </w:rPr>
              <w:t xml:space="preserve">GM </w:t>
            </w:r>
            <w:r w:rsidRPr="00906F19">
              <w:rPr>
                <w:rFonts w:ascii="Calibri" w:hAnsi="Calibri"/>
              </w:rPr>
              <w:t>strains of dengue</w:t>
            </w:r>
            <w:r>
              <w:rPr>
                <w:rFonts w:ascii="Calibri" w:hAnsi="Calibri"/>
              </w:rPr>
              <w:t xml:space="preserve"> virus, known as TDV-1, TDV-2, TDV-3, and TDV-4, where the serotype 2 backbone has been </w:t>
            </w:r>
            <w:r w:rsidRPr="00906F19">
              <w:rPr>
                <w:rFonts w:ascii="Calibri" w:hAnsi="Calibri"/>
              </w:rPr>
              <w:t>modified to contain pre-membrane (</w:t>
            </w:r>
            <w:proofErr w:type="spellStart"/>
            <w:r w:rsidRPr="00A93F3C">
              <w:rPr>
                <w:rFonts w:asciiTheme="minorHAnsi" w:hAnsiTheme="minorHAnsi" w:cstheme="minorHAnsi"/>
                <w:i/>
                <w:iCs/>
              </w:rPr>
              <w:t>prM</w:t>
            </w:r>
            <w:proofErr w:type="spellEnd"/>
            <w:r w:rsidRPr="00906F19">
              <w:rPr>
                <w:rFonts w:ascii="Calibri" w:hAnsi="Calibri"/>
              </w:rPr>
              <w:t>) and envelope (</w:t>
            </w:r>
            <w:r w:rsidRPr="00A93F3C">
              <w:rPr>
                <w:rFonts w:asciiTheme="minorHAnsi" w:hAnsiTheme="minorHAnsi" w:cstheme="minorHAnsi"/>
                <w:i/>
                <w:iCs/>
              </w:rPr>
              <w:t>E</w:t>
            </w:r>
            <w:r w:rsidRPr="00906F19">
              <w:rPr>
                <w:rFonts w:ascii="Calibri" w:hAnsi="Calibri"/>
              </w:rPr>
              <w:t xml:space="preserve">) genes from the 4 dengue serotypes. As glycoproteins </w:t>
            </w:r>
            <w:proofErr w:type="spellStart"/>
            <w:r w:rsidRPr="00906F19">
              <w:rPr>
                <w:rFonts w:ascii="Calibri" w:hAnsi="Calibri"/>
              </w:rPr>
              <w:t>prM</w:t>
            </w:r>
            <w:proofErr w:type="spellEnd"/>
            <w:r w:rsidRPr="00906F19">
              <w:rPr>
                <w:rFonts w:ascii="Calibri" w:hAnsi="Calibri"/>
              </w:rPr>
              <w:t xml:space="preserve"> and E are present on the surface of dengue virus particles and are recognised by the human immune system, </w:t>
            </w:r>
            <w:r>
              <w:rPr>
                <w:rFonts w:ascii="Calibri" w:hAnsi="Calibri"/>
              </w:rPr>
              <w:t>the GM vaccine</w:t>
            </w:r>
            <w:r w:rsidRPr="00906F19">
              <w:rPr>
                <w:rFonts w:ascii="Calibri" w:hAnsi="Calibri"/>
              </w:rPr>
              <w:t xml:space="preserve"> is intended to stimulate immune responses against all these serotypes</w:t>
            </w:r>
            <w:r>
              <w:rPr>
                <w:rFonts w:ascii="Calibri" w:hAnsi="Calibri"/>
              </w:rPr>
              <w:t>.</w:t>
            </w:r>
            <w:bookmarkEnd w:id="2"/>
          </w:p>
        </w:tc>
      </w:tr>
      <w:tr w:rsidR="00A95E0D" w:rsidRPr="002E4447" w14:paraId="7EA4DEF6" w14:textId="77777777" w:rsidTr="00A95E0D">
        <w:trPr>
          <w:jc w:val="center"/>
        </w:trPr>
        <w:tc>
          <w:tcPr>
            <w:tcW w:w="2263" w:type="dxa"/>
          </w:tcPr>
          <w:p w14:paraId="06EBF416" w14:textId="77777777" w:rsidR="00A95E0D" w:rsidRPr="00422A6D" w:rsidRDefault="00A95E0D" w:rsidP="006B5E8C">
            <w:pPr>
              <w:pStyle w:val="LEFTLIST"/>
              <w:keepNext w:val="0"/>
              <w:widowControl w:val="0"/>
              <w:spacing w:before="40"/>
              <w:rPr>
                <w:rFonts w:ascii="Calibri" w:hAnsi="Calibri" w:cs="Calibri"/>
                <w:i/>
              </w:rPr>
            </w:pPr>
            <w:r>
              <w:rPr>
                <w:rFonts w:ascii="Calibri" w:hAnsi="Calibri" w:cs="Calibri"/>
                <w:i/>
              </w:rPr>
              <w:t>Proposed locations</w:t>
            </w:r>
          </w:p>
        </w:tc>
        <w:tc>
          <w:tcPr>
            <w:tcW w:w="7358" w:type="dxa"/>
          </w:tcPr>
          <w:p w14:paraId="24FFA68B" w14:textId="77777777" w:rsidR="00A95E0D" w:rsidRPr="00105554" w:rsidRDefault="00A95E0D" w:rsidP="006B5E8C">
            <w:pPr>
              <w:pStyle w:val="RIGHTLIST"/>
              <w:widowControl w:val="0"/>
              <w:spacing w:before="60" w:after="60"/>
              <w:rPr>
                <w:rFonts w:ascii="Calibri" w:hAnsi="Calibri" w:cs="Calibri"/>
              </w:rPr>
            </w:pPr>
            <w:r>
              <w:rPr>
                <w:rFonts w:ascii="Calibri" w:hAnsi="Calibri" w:cs="Calibri"/>
              </w:rPr>
              <w:t>Australia-wide</w:t>
            </w:r>
          </w:p>
        </w:tc>
      </w:tr>
      <w:tr w:rsidR="00A95E0D" w:rsidRPr="002E4447" w14:paraId="2A96498A" w14:textId="77777777" w:rsidTr="00A95E0D">
        <w:trPr>
          <w:jc w:val="center"/>
        </w:trPr>
        <w:tc>
          <w:tcPr>
            <w:tcW w:w="2263" w:type="dxa"/>
          </w:tcPr>
          <w:p w14:paraId="160A739D" w14:textId="77777777" w:rsidR="00A95E0D" w:rsidRPr="00422A6D" w:rsidRDefault="00A95E0D" w:rsidP="006B5E8C">
            <w:pPr>
              <w:pStyle w:val="LEFTLIST"/>
              <w:keepNext w:val="0"/>
              <w:widowControl w:val="0"/>
              <w:spacing w:before="40"/>
              <w:rPr>
                <w:rFonts w:ascii="Calibri" w:hAnsi="Calibri"/>
                <w:i/>
              </w:rPr>
            </w:pPr>
            <w:r w:rsidRPr="00422A6D">
              <w:rPr>
                <w:rFonts w:ascii="Calibri" w:hAnsi="Calibri" w:cs="Calibri"/>
                <w:i/>
              </w:rPr>
              <w:t>Principal purpose</w:t>
            </w:r>
          </w:p>
        </w:tc>
        <w:tc>
          <w:tcPr>
            <w:tcW w:w="7358" w:type="dxa"/>
          </w:tcPr>
          <w:p w14:paraId="2A020569" w14:textId="77777777" w:rsidR="00A95E0D" w:rsidRPr="00105554" w:rsidRDefault="00A95E0D" w:rsidP="006B5E8C">
            <w:pPr>
              <w:pStyle w:val="RIGHTLIST"/>
              <w:widowControl w:val="0"/>
              <w:spacing w:before="60" w:after="60"/>
              <w:rPr>
                <w:rFonts w:ascii="Calibri" w:hAnsi="Calibri" w:cs="Calibri"/>
              </w:rPr>
            </w:pPr>
            <w:r>
              <w:rPr>
                <w:rFonts w:ascii="Calibri" w:hAnsi="Calibri" w:cs="Calibri"/>
              </w:rPr>
              <w:t>Commercial supply of the GM dengue vaccine</w:t>
            </w:r>
          </w:p>
        </w:tc>
      </w:tr>
      <w:tr w:rsidR="00A95E0D" w:rsidRPr="002E4447" w14:paraId="3923266B" w14:textId="77777777" w:rsidTr="00A95E0D">
        <w:trPr>
          <w:jc w:val="center"/>
        </w:trPr>
        <w:tc>
          <w:tcPr>
            <w:tcW w:w="2263" w:type="dxa"/>
          </w:tcPr>
          <w:p w14:paraId="628FF60B" w14:textId="77777777" w:rsidR="00A95E0D" w:rsidRPr="00422A6D" w:rsidRDefault="00A95E0D" w:rsidP="00A95E0D">
            <w:pPr>
              <w:pStyle w:val="LEFTLIST"/>
              <w:keepNext w:val="0"/>
              <w:widowControl w:val="0"/>
              <w:spacing w:before="40"/>
              <w:rPr>
                <w:rFonts w:ascii="Calibri" w:hAnsi="Calibri" w:cs="Calibri"/>
                <w:i/>
              </w:rPr>
            </w:pPr>
            <w:r>
              <w:rPr>
                <w:rFonts w:ascii="Calibri" w:hAnsi="Calibri" w:cs="Calibri"/>
                <w:i/>
              </w:rPr>
              <w:lastRenderedPageBreak/>
              <w:t>Previous approvals</w:t>
            </w:r>
          </w:p>
        </w:tc>
        <w:tc>
          <w:tcPr>
            <w:tcW w:w="7358" w:type="dxa"/>
          </w:tcPr>
          <w:p w14:paraId="47DEE5B4" w14:textId="77777777" w:rsidR="00A95E0D" w:rsidRPr="002D48C9" w:rsidRDefault="00A95E0D" w:rsidP="00A95E0D">
            <w:pPr>
              <w:pStyle w:val="RIGHTLIST"/>
              <w:keepNext w:val="0"/>
              <w:widowControl w:val="0"/>
              <w:spacing w:before="60" w:after="60"/>
              <w:rPr>
                <w:rFonts w:ascii="Calibri" w:hAnsi="Calibri" w:cs="Calibri"/>
              </w:rPr>
            </w:pPr>
            <w:r w:rsidRPr="002D48C9">
              <w:rPr>
                <w:rFonts w:ascii="Calibri" w:hAnsi="Calibri" w:cs="Calibri"/>
              </w:rPr>
              <w:t>The GM vaccine has not previously been approved in Australia.</w:t>
            </w:r>
          </w:p>
          <w:p w14:paraId="4D1EFED6" w14:textId="77777777" w:rsidR="00A95E0D" w:rsidRPr="002D48C9" w:rsidRDefault="00A95E0D" w:rsidP="00A95E0D">
            <w:pPr>
              <w:pStyle w:val="RIGHTLIST"/>
              <w:keepNext w:val="0"/>
              <w:widowControl w:val="0"/>
              <w:spacing w:before="60" w:after="60"/>
              <w:rPr>
                <w:rFonts w:ascii="Calibri" w:hAnsi="Calibri" w:cs="Calibri"/>
              </w:rPr>
            </w:pPr>
            <w:r w:rsidRPr="002D48C9">
              <w:rPr>
                <w:rFonts w:ascii="Calibri" w:hAnsi="Calibri" w:cs="Calibri"/>
              </w:rPr>
              <w:t xml:space="preserve">Internationally, the GM vaccine has been approved by health authorities in </w:t>
            </w:r>
            <w:bookmarkStart w:id="3" w:name="_Hlk136341840"/>
            <w:r w:rsidRPr="002D48C9">
              <w:rPr>
                <w:rFonts w:ascii="Calibri" w:hAnsi="Calibri" w:cs="Calibri"/>
              </w:rPr>
              <w:t>Indonesia, the European Union, Great Britain</w:t>
            </w:r>
            <w:bookmarkEnd w:id="3"/>
            <w:r w:rsidRPr="002D48C9">
              <w:rPr>
                <w:rFonts w:ascii="Calibri" w:hAnsi="Calibri" w:cs="Calibri"/>
              </w:rPr>
              <w:t>, Brazil, Argentina, and Thailand.</w:t>
            </w:r>
          </w:p>
        </w:tc>
      </w:tr>
      <w:tr w:rsidR="00A95E0D" w:rsidRPr="002E4447" w14:paraId="60FDED4C" w14:textId="77777777" w:rsidTr="00A95E0D">
        <w:trPr>
          <w:jc w:val="center"/>
        </w:trPr>
        <w:tc>
          <w:tcPr>
            <w:tcW w:w="2263" w:type="dxa"/>
          </w:tcPr>
          <w:p w14:paraId="1485A613" w14:textId="77777777" w:rsidR="00A95E0D" w:rsidRPr="00753CF6" w:rsidRDefault="00A95E0D" w:rsidP="006B5E8C">
            <w:pPr>
              <w:pStyle w:val="LEFTLIST"/>
              <w:keepNext w:val="0"/>
              <w:widowControl w:val="0"/>
              <w:spacing w:before="40"/>
              <w:rPr>
                <w:rFonts w:ascii="Calibri" w:hAnsi="Calibri"/>
                <w:bCs w:val="0"/>
                <w:i/>
                <w:iCs/>
              </w:rPr>
            </w:pPr>
            <w:r w:rsidRPr="00753CF6">
              <w:rPr>
                <w:rFonts w:ascii="Calibri" w:hAnsi="Calibri" w:cs="Calibri"/>
                <w:bCs w:val="0"/>
                <w:i/>
                <w:iCs/>
              </w:rPr>
              <w:t>Proposed period of release</w:t>
            </w:r>
          </w:p>
        </w:tc>
        <w:tc>
          <w:tcPr>
            <w:tcW w:w="7358" w:type="dxa"/>
          </w:tcPr>
          <w:p w14:paraId="6640DA27" w14:textId="77777777" w:rsidR="00A95E0D" w:rsidRPr="00C7635B" w:rsidRDefault="00A95E0D" w:rsidP="006B5E8C">
            <w:pPr>
              <w:pStyle w:val="RIGHTLIST"/>
              <w:keepNext w:val="0"/>
              <w:widowControl w:val="0"/>
              <w:spacing w:before="60" w:after="60"/>
              <w:rPr>
                <w:rFonts w:ascii="Calibri" w:hAnsi="Calibri"/>
              </w:rPr>
            </w:pPr>
            <w:r w:rsidRPr="00105554">
              <w:rPr>
                <w:rFonts w:ascii="Calibri" w:hAnsi="Calibri" w:cs="Calibri"/>
              </w:rPr>
              <w:t>From issue of licence</w:t>
            </w:r>
          </w:p>
        </w:tc>
      </w:tr>
    </w:tbl>
    <w:p w14:paraId="001B56E4" w14:textId="77777777" w:rsidR="00A95E0D" w:rsidRPr="00C42C10" w:rsidRDefault="00A95E0D" w:rsidP="00181E44">
      <w:pPr>
        <w:keepNext/>
        <w:spacing w:before="240"/>
        <w:rPr>
          <w:b/>
          <w:bCs/>
          <w:i/>
          <w:iCs/>
        </w:rPr>
      </w:pPr>
      <w:r w:rsidRPr="00C42C10">
        <w:rPr>
          <w:b/>
          <w:bCs/>
          <w:i/>
          <w:iCs/>
        </w:rPr>
        <w:t>Risk assessment</w:t>
      </w:r>
    </w:p>
    <w:p w14:paraId="33E118C9" w14:textId="77777777" w:rsidR="00A95E0D" w:rsidRDefault="00A95E0D" w:rsidP="00A95E0D">
      <w:pPr>
        <w:keepNext/>
      </w:pPr>
      <w:r>
        <w:t xml:space="preserve">The risk assessment process considers how the genetic modification and proposed activities conducted with the GM vaccine in the context of import, transport, storage, and disposal might lead to harm to people or the environment. Risks are characterised in relation to both the seriousness and likelihood of harm, </w:t>
      </w:r>
      <w:proofErr w:type="gramStart"/>
      <w:r>
        <w:t>taking into account</w:t>
      </w:r>
      <w:proofErr w:type="gramEnd"/>
      <w:r>
        <w:t xml:space="preserve"> information in the application, relevant previous approvals, current scientific knowledge and advice received from a wide range of experts, agencies and authorities consulted on the preparation of the RARMP. Both the short- and long-term risks were considered.</w:t>
      </w:r>
    </w:p>
    <w:p w14:paraId="5D809416" w14:textId="77777777" w:rsidR="00A95E0D" w:rsidRDefault="00A95E0D" w:rsidP="00A95E0D">
      <w:r>
        <w:t xml:space="preserve">Credible pathways to potential harm that were </w:t>
      </w:r>
      <w:r w:rsidRPr="00743375">
        <w:t xml:space="preserve">considered include the potential accidental exposure of people to the GMOs during transport and storage, </w:t>
      </w:r>
      <w:proofErr w:type="gramStart"/>
      <w:r w:rsidRPr="00743375">
        <w:t>preparation</w:t>
      </w:r>
      <w:proofErr w:type="gramEnd"/>
      <w:r w:rsidRPr="00743375">
        <w:t xml:space="preserve"> and administration of the vaccine, and during disposal of the GMOs and any associated waste. The potential for the GMO</w:t>
      </w:r>
      <w:r>
        <w:t>s</w:t>
      </w:r>
      <w:r w:rsidRPr="00743375">
        <w:t xml:space="preserve"> to be released into the environment and its effects were also considered.</w:t>
      </w:r>
    </w:p>
    <w:p w14:paraId="28BDF9A5" w14:textId="77777777" w:rsidR="00A95E0D" w:rsidRDefault="00A95E0D" w:rsidP="00A95E0D">
      <w:r>
        <w:t>The risk assessment concludes that risks to the health and safety of people and to the environment from the proposed supply of the vaccine are negligible. No specific risk treatment measures are required to manage these negligible risks.</w:t>
      </w:r>
    </w:p>
    <w:p w14:paraId="1B1EE6C4" w14:textId="314A40DF" w:rsidR="00A95E0D" w:rsidRDefault="00A95E0D" w:rsidP="00A95E0D">
      <w:r>
        <w:t xml:space="preserve">The principal reasons for the conclusion of negligible risks associated with the </w:t>
      </w:r>
      <w:r w:rsidR="00167011">
        <w:t xml:space="preserve">import, </w:t>
      </w:r>
      <w:r>
        <w:t xml:space="preserve">transport, </w:t>
      </w:r>
      <w:proofErr w:type="gramStart"/>
      <w:r>
        <w:t>storage</w:t>
      </w:r>
      <w:proofErr w:type="gramEnd"/>
      <w:r>
        <w:t xml:space="preserve"> and disposal of the GMOs are:</w:t>
      </w:r>
    </w:p>
    <w:p w14:paraId="0B87AD0C" w14:textId="77777777" w:rsidR="00A95E0D" w:rsidRDefault="00A95E0D" w:rsidP="00A95E0D">
      <w:pPr>
        <w:pStyle w:val="ListBullet1"/>
      </w:pPr>
      <w:r>
        <w:t xml:space="preserve">the GMOs are attenuated in comparison to wildtype (WT) </w:t>
      </w:r>
      <w:proofErr w:type="gramStart"/>
      <w:r>
        <w:t>dengue</w:t>
      </w:r>
      <w:proofErr w:type="gramEnd"/>
    </w:p>
    <w:p w14:paraId="6F064F8B" w14:textId="77777777" w:rsidR="00A95E0D" w:rsidRDefault="00A95E0D" w:rsidP="00A95E0D">
      <w:pPr>
        <w:pStyle w:val="ListBullet1"/>
      </w:pPr>
      <w:r>
        <w:t xml:space="preserve">the dose received through accidental exposure would be smaller than that administered during </w:t>
      </w:r>
      <w:proofErr w:type="gramStart"/>
      <w:r>
        <w:t>vaccination</w:t>
      </w:r>
      <w:proofErr w:type="gramEnd"/>
    </w:p>
    <w:p w14:paraId="60266B73" w14:textId="77777777" w:rsidR="00A95E0D" w:rsidRDefault="00A95E0D" w:rsidP="00A95E0D">
      <w:pPr>
        <w:pStyle w:val="ListBullet1"/>
      </w:pPr>
      <w:r>
        <w:t xml:space="preserve">the GM vaccine has a favourable safety profile at doses higher than would be expected through accidental </w:t>
      </w:r>
      <w:proofErr w:type="gramStart"/>
      <w:r>
        <w:t>exposure</w:t>
      </w:r>
      <w:proofErr w:type="gramEnd"/>
    </w:p>
    <w:p w14:paraId="3CF5009B" w14:textId="77777777" w:rsidR="00A95E0D" w:rsidRDefault="00A95E0D" w:rsidP="00A95E0D">
      <w:pPr>
        <w:pStyle w:val="ListBullet1"/>
      </w:pPr>
      <w:r>
        <w:t>import, transport, storage, and disposal will follow well established procedures.</w:t>
      </w:r>
    </w:p>
    <w:p w14:paraId="1E250E61" w14:textId="77777777" w:rsidR="00A95E0D" w:rsidRPr="00C42C10" w:rsidRDefault="00A95E0D" w:rsidP="00A95E0D">
      <w:pPr>
        <w:rPr>
          <w:b/>
          <w:bCs/>
          <w:i/>
          <w:iCs/>
        </w:rPr>
      </w:pPr>
      <w:r w:rsidRPr="00C42C10">
        <w:rPr>
          <w:b/>
          <w:bCs/>
          <w:i/>
          <w:iCs/>
        </w:rPr>
        <w:t>Risk management</w:t>
      </w:r>
    </w:p>
    <w:p w14:paraId="0EA57170" w14:textId="77777777" w:rsidR="00A95E0D" w:rsidRDefault="00A95E0D" w:rsidP="00A95E0D">
      <w:r>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7BFD9320" w14:textId="77777777" w:rsidR="00A95E0D" w:rsidRDefault="00A95E0D" w:rsidP="00A95E0D">
      <w:r>
        <w:t>The risk management plan concludes that risks from the proposed dealings can be managed so that people and the environment are protected by imposing general conditions to ensure that there is ongoing oversight of the vaccine containing the GMOs.</w:t>
      </w:r>
    </w:p>
    <w:p w14:paraId="1B6F272C" w14:textId="452E762B" w:rsidR="00A95E0D" w:rsidRDefault="00A95E0D">
      <w:r>
        <w:t xml:space="preserve">As the level of risk was assessed as negligible, specific risk treatment is not required. However, the Regulator has imposed licence conditions regarding post release review (post-market surveillance) to ensure that there is ongoing oversight of the supply of the GM dengue vaccine and to allow the collection of ongoing information to verify the findings of the RARMP. The licence also contains </w:t>
      </w:r>
      <w:proofErr w:type="gramStart"/>
      <w:r>
        <w:t>a number of</w:t>
      </w:r>
      <w:proofErr w:type="gramEnd"/>
      <w:r>
        <w:t xml:space="preserve"> general conditions relating to ongoing licence holder suitability, auditing and monitoring, and reporting requirements, which include an obligation to report any unintended effects.</w:t>
      </w:r>
    </w:p>
    <w:sectPr w:rsidR="00A95E0D" w:rsidSect="00A95E0D">
      <w:foot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8C6F" w14:textId="77777777" w:rsidR="00AD60BD" w:rsidRDefault="00AD60BD" w:rsidP="00A95E0D">
      <w:pPr>
        <w:spacing w:before="0" w:after="0"/>
      </w:pPr>
      <w:r>
        <w:separator/>
      </w:r>
    </w:p>
  </w:endnote>
  <w:endnote w:type="continuationSeparator" w:id="0">
    <w:p w14:paraId="15576BE5" w14:textId="77777777" w:rsidR="00AD60BD" w:rsidRDefault="00AD60BD" w:rsidP="00A95E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6A02" w14:textId="15602C8B" w:rsidR="00A95E0D" w:rsidRPr="006F488E" w:rsidRDefault="00A95E0D" w:rsidP="00A95E0D">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sidR="00D32784">
      <w:rPr>
        <w:rFonts w:cs="Calibri"/>
        <w:sz w:val="20"/>
      </w:rPr>
      <w:t xml:space="preserve"> </w:t>
    </w:r>
    <w:r w:rsidRPr="006F488E">
      <w:rPr>
        <w:rFonts w:cs="Calibri"/>
        <w:sz w:val="20"/>
      </w:rPr>
      <w:t>Website: www.ogtr.gov.au</w:t>
    </w:r>
  </w:p>
  <w:p w14:paraId="548CEAF6" w14:textId="259994E8" w:rsidR="00A95E0D" w:rsidRPr="00A95E0D" w:rsidRDefault="00A95E0D" w:rsidP="00A95E0D">
    <w:pPr>
      <w:jc w:val="center"/>
      <w:rPr>
        <w:rFonts w:cs="Calibri"/>
      </w:rPr>
    </w:pPr>
    <w:r w:rsidRPr="006F488E">
      <w:rPr>
        <w:rFonts w:cs="Calibri"/>
        <w:sz w:val="20"/>
      </w:rPr>
      <w:t>Telephone: 1800 181 030</w:t>
    </w:r>
    <w:r w:rsidRPr="006F488E">
      <w:rPr>
        <w:rFonts w:cs="Calibri"/>
        <w:sz w:val="20"/>
      </w:rPr>
      <w:tab/>
    </w:r>
    <w:r w:rsidR="00D32784">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7D27" w14:textId="77777777" w:rsidR="00AD60BD" w:rsidRDefault="00AD60BD" w:rsidP="00A95E0D">
      <w:pPr>
        <w:spacing w:before="0" w:after="0"/>
      </w:pPr>
      <w:r>
        <w:separator/>
      </w:r>
    </w:p>
  </w:footnote>
  <w:footnote w:type="continuationSeparator" w:id="0">
    <w:p w14:paraId="7E188A04" w14:textId="77777777" w:rsidR="00AD60BD" w:rsidRDefault="00AD60BD" w:rsidP="00A95E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C959" w14:textId="62E17D89" w:rsidR="00A95E0D" w:rsidRDefault="00A95E0D">
    <w:pPr>
      <w:pStyle w:val="Header"/>
    </w:pPr>
    <w:r>
      <w:rPr>
        <w:noProof/>
      </w:rPr>
      <w:drawing>
        <wp:inline distT="0" distB="0" distL="0" distR="0" wp14:anchorId="0F26C441" wp14:editId="5D43ACE1">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1525A"/>
    <w:multiLevelType w:val="hybridMultilevel"/>
    <w:tmpl w:val="2C10AF88"/>
    <w:lvl w:ilvl="0" w:tplc="6F6CF40A">
      <w:start w:val="1"/>
      <w:numFmt w:val="bullet"/>
      <w:pStyle w:val="List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020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0D"/>
    <w:rsid w:val="000D0D5D"/>
    <w:rsid w:val="00167011"/>
    <w:rsid w:val="00181E44"/>
    <w:rsid w:val="002506D5"/>
    <w:rsid w:val="00781417"/>
    <w:rsid w:val="00A40670"/>
    <w:rsid w:val="00A95E0D"/>
    <w:rsid w:val="00A97210"/>
    <w:rsid w:val="00AD60BD"/>
    <w:rsid w:val="00D32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B8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0D"/>
    <w:pPr>
      <w:spacing w:before="120" w:after="120" w:line="240" w:lineRule="auto"/>
    </w:pPr>
    <w:rPr>
      <w:rFonts w:ascii="Calibri" w:hAnsi="Calibri"/>
    </w:rPr>
  </w:style>
  <w:style w:type="paragraph" w:styleId="Heading1">
    <w:name w:val="heading 1"/>
    <w:basedOn w:val="Normal"/>
    <w:next w:val="Normal"/>
    <w:link w:val="Heading1Char"/>
    <w:qFormat/>
    <w:rsid w:val="00A95E0D"/>
    <w:pPr>
      <w:keepNext/>
      <w:keepLines/>
      <w:spacing w:before="240" w:after="360"/>
      <w:outlineLvl w:val="0"/>
    </w:pPr>
    <w:rPr>
      <w:rFonts w:eastAsiaTheme="majorEastAsia"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E0D"/>
    <w:pPr>
      <w:tabs>
        <w:tab w:val="center" w:pos="4513"/>
        <w:tab w:val="right" w:pos="9026"/>
      </w:tabs>
      <w:spacing w:after="0"/>
    </w:pPr>
  </w:style>
  <w:style w:type="character" w:customStyle="1" w:styleId="HeaderChar">
    <w:name w:val="Header Char"/>
    <w:basedOn w:val="DefaultParagraphFont"/>
    <w:link w:val="Header"/>
    <w:uiPriority w:val="99"/>
    <w:rsid w:val="00A95E0D"/>
  </w:style>
  <w:style w:type="paragraph" w:styleId="Footer">
    <w:name w:val="footer"/>
    <w:basedOn w:val="Normal"/>
    <w:link w:val="FooterChar"/>
    <w:uiPriority w:val="99"/>
    <w:unhideWhenUsed/>
    <w:rsid w:val="00A95E0D"/>
    <w:pPr>
      <w:tabs>
        <w:tab w:val="center" w:pos="4513"/>
        <w:tab w:val="right" w:pos="9026"/>
      </w:tabs>
      <w:spacing w:after="0"/>
    </w:pPr>
  </w:style>
  <w:style w:type="character" w:customStyle="1" w:styleId="FooterChar">
    <w:name w:val="Footer Char"/>
    <w:basedOn w:val="DefaultParagraphFont"/>
    <w:link w:val="Footer"/>
    <w:uiPriority w:val="99"/>
    <w:rsid w:val="00A95E0D"/>
  </w:style>
  <w:style w:type="character" w:customStyle="1" w:styleId="Heading1Char">
    <w:name w:val="Heading 1 Char"/>
    <w:basedOn w:val="DefaultParagraphFont"/>
    <w:link w:val="Heading1"/>
    <w:rsid w:val="00A95E0D"/>
    <w:rPr>
      <w:rFonts w:ascii="Calibri" w:eastAsiaTheme="majorEastAsia" w:hAnsi="Calibri" w:cstheme="majorBidi"/>
      <w:b/>
      <w:sz w:val="36"/>
      <w:szCs w:val="32"/>
    </w:rPr>
  </w:style>
  <w:style w:type="paragraph" w:customStyle="1" w:styleId="ListBullet1">
    <w:name w:val="List Bullet1"/>
    <w:basedOn w:val="Normal"/>
    <w:qFormat/>
    <w:rsid w:val="00A95E0D"/>
    <w:pPr>
      <w:numPr>
        <w:numId w:val="1"/>
      </w:numPr>
      <w:spacing w:before="60" w:after="60" w:line="240" w:lineRule="atLeast"/>
      <w:ind w:left="714" w:hanging="357"/>
    </w:pPr>
  </w:style>
  <w:style w:type="paragraph" w:customStyle="1" w:styleId="RIGHTLIST">
    <w:name w:val="RIGHTLIST"/>
    <w:basedOn w:val="LEFTLIST"/>
    <w:rsid w:val="00A95E0D"/>
    <w:rPr>
      <w:rFonts w:ascii="Times New Roman" w:hAnsi="Times New Roman" w:cs="Times New Roman"/>
      <w:b w:val="0"/>
      <w:bCs w:val="0"/>
    </w:rPr>
  </w:style>
  <w:style w:type="paragraph" w:customStyle="1" w:styleId="LEFTLIST">
    <w:name w:val="LEFTLIST"/>
    <w:basedOn w:val="Heading1"/>
    <w:rsid w:val="00A95E0D"/>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DIR 196 Summary of the RARMP</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196  - Summary of Risk Assessment and Risk Management Plan</dc:title>
  <dc:subject/>
  <dc:creator/>
  <cp:keywords/>
  <dc:description/>
  <cp:lastModifiedBy/>
  <cp:revision>1</cp:revision>
  <dcterms:created xsi:type="dcterms:W3CDTF">2023-11-28T05:35:00Z</dcterms:created>
  <dcterms:modified xsi:type="dcterms:W3CDTF">2023-11-28T05:35:00Z</dcterms:modified>
</cp:coreProperties>
</file>