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E3BAA" w14:textId="3444B0FB" w:rsidR="007A6987" w:rsidRPr="007A6987" w:rsidRDefault="007A6987" w:rsidP="00C921BB">
      <w:pPr>
        <w:pStyle w:val="Heading1"/>
        <w:shd w:val="clear" w:color="auto" w:fill="FFFFFF"/>
        <w:rPr>
          <w:rFonts w:ascii="Segoe UI" w:hAnsi="Segoe UI" w:cs="Segoe UI"/>
          <w:b/>
          <w:bCs/>
          <w:color w:val="auto"/>
          <w:sz w:val="36"/>
          <w:szCs w:val="36"/>
        </w:rPr>
      </w:pPr>
      <w:r w:rsidRPr="007A6987">
        <w:rPr>
          <w:rFonts w:ascii="Segoe UI" w:hAnsi="Segoe UI" w:cs="Segoe UI"/>
          <w:b/>
          <w:bCs/>
          <w:color w:val="auto"/>
          <w:sz w:val="36"/>
          <w:szCs w:val="36"/>
        </w:rPr>
        <w:t>What do we mean by Intentional Release?</w:t>
      </w:r>
    </w:p>
    <w:p w14:paraId="374C3CB7" w14:textId="0A2D226C" w:rsidR="007A6987" w:rsidRPr="007A6987" w:rsidRDefault="007A6987" w:rsidP="007A6987">
      <w:pPr>
        <w:shd w:val="clear" w:color="auto" w:fill="FFFFFF"/>
        <w:spacing w:before="100" w:beforeAutospacing="1" w:after="100" w:afterAutospacing="1" w:line="240" w:lineRule="auto"/>
        <w:rPr>
          <w:rFonts w:ascii="Segoe UI" w:eastAsia="Times New Roman" w:hAnsi="Segoe UI" w:cs="Segoe UI"/>
          <w:color w:val="313131"/>
          <w:lang w:eastAsia="en-AU"/>
        </w:rPr>
      </w:pPr>
      <w:r w:rsidRPr="007A6987">
        <w:rPr>
          <w:rFonts w:ascii="Segoe UI" w:eastAsia="Times New Roman" w:hAnsi="Segoe UI" w:cs="Segoe UI"/>
          <w:color w:val="313131"/>
          <w:lang w:eastAsia="en-AU"/>
        </w:rPr>
        <w:t xml:space="preserve">The Gene Technology Regulator issues licences that allow people to work with genetically modified organisms (GMOs). Most licences issued are for scientific research in laboratories, greenhouses, </w:t>
      </w:r>
      <w:proofErr w:type="gramStart"/>
      <w:r w:rsidRPr="007A6987">
        <w:rPr>
          <w:rFonts w:ascii="Segoe UI" w:eastAsia="Times New Roman" w:hAnsi="Segoe UI" w:cs="Segoe UI"/>
          <w:color w:val="313131"/>
          <w:lang w:eastAsia="en-AU"/>
        </w:rPr>
        <w:t>insectaries</w:t>
      </w:r>
      <w:proofErr w:type="gramEnd"/>
      <w:r w:rsidRPr="007A6987">
        <w:rPr>
          <w:rFonts w:ascii="Segoe UI" w:eastAsia="Times New Roman" w:hAnsi="Segoe UI" w:cs="Segoe UI"/>
          <w:color w:val="313131"/>
          <w:lang w:eastAsia="en-AU"/>
        </w:rPr>
        <w:t xml:space="preserve"> and other specialised facilities which have been designed to contain the GMOs. Some work like planting and growing GM crops, clinical trials of a new medicine or vaccine, or commercial sale of a GM medicine cannot be done in a laboratory. Instead, they take place in a range of settings, like growing in a field, being administered in a clinic or hospital, or manufactured in a factory and sold in a chemist or pharmacy. Because these two different types of work involve different contexts, the gene technology laws have two different types of licences to cover them.</w:t>
      </w:r>
    </w:p>
    <w:p w14:paraId="02C21A7E" w14:textId="77777777" w:rsidR="007A6987" w:rsidRPr="007A6987" w:rsidRDefault="007A6987" w:rsidP="007A6987">
      <w:pPr>
        <w:shd w:val="clear" w:color="auto" w:fill="FFFFFF"/>
        <w:spacing w:before="100" w:beforeAutospacing="1" w:after="100" w:afterAutospacing="1" w:line="240" w:lineRule="auto"/>
        <w:rPr>
          <w:rFonts w:ascii="Segoe UI" w:eastAsia="Times New Roman" w:hAnsi="Segoe UI" w:cs="Segoe UI"/>
          <w:color w:val="313131"/>
          <w:lang w:eastAsia="en-AU"/>
        </w:rPr>
      </w:pPr>
      <w:r w:rsidRPr="007A6987">
        <w:rPr>
          <w:rFonts w:ascii="Segoe UI" w:eastAsia="Times New Roman" w:hAnsi="Segoe UI" w:cs="Segoe UI"/>
          <w:color w:val="313131"/>
          <w:lang w:eastAsia="en-AU"/>
        </w:rPr>
        <w:t>Licences for research or other work in special facilities are called a ‘dealing not involving release into the environment’ (DNIR). The work is contained within a building or other structure rather than outside, or in a hospital, or sold in a store.</w:t>
      </w:r>
    </w:p>
    <w:p w14:paraId="6B7EF75D" w14:textId="77777777" w:rsidR="007A6987" w:rsidRPr="007A6987" w:rsidRDefault="007A6987" w:rsidP="007A6987">
      <w:pPr>
        <w:shd w:val="clear" w:color="auto" w:fill="FFFFFF"/>
        <w:spacing w:before="100" w:beforeAutospacing="1" w:after="100" w:afterAutospacing="1" w:line="240" w:lineRule="auto"/>
        <w:rPr>
          <w:rFonts w:ascii="Segoe UI" w:eastAsia="Times New Roman" w:hAnsi="Segoe UI" w:cs="Segoe UI"/>
          <w:color w:val="313131"/>
          <w:lang w:eastAsia="en-AU"/>
        </w:rPr>
      </w:pPr>
      <w:r w:rsidRPr="007A6987">
        <w:rPr>
          <w:rFonts w:ascii="Segoe UI" w:eastAsia="Times New Roman" w:hAnsi="Segoe UI" w:cs="Segoe UI"/>
          <w:b/>
          <w:bCs/>
          <w:color w:val="313131"/>
          <w:lang w:eastAsia="en-AU"/>
        </w:rPr>
        <w:t>Licences for all other work with GMOs are called a ‘dealing involving intentional release into the environment’ (DIR).</w:t>
      </w:r>
      <w:r w:rsidRPr="007A6987">
        <w:rPr>
          <w:rFonts w:ascii="Segoe UI" w:eastAsia="Times New Roman" w:hAnsi="Segoe UI" w:cs="Segoe UI"/>
          <w:color w:val="313131"/>
          <w:lang w:eastAsia="en-AU"/>
        </w:rPr>
        <w:t> The GMOs are </w:t>
      </w:r>
      <w:r w:rsidRPr="007A6987">
        <w:rPr>
          <w:rFonts w:ascii="Segoe UI" w:eastAsia="Times New Roman" w:hAnsi="Segoe UI" w:cs="Segoe UI"/>
          <w:i/>
          <w:iCs/>
          <w:color w:val="313131"/>
          <w:lang w:eastAsia="en-AU"/>
        </w:rPr>
        <w:t>not </w:t>
      </w:r>
      <w:r w:rsidRPr="007A6987">
        <w:rPr>
          <w:rFonts w:ascii="Segoe UI" w:eastAsia="Times New Roman" w:hAnsi="Segoe UI" w:cs="Segoe UI"/>
          <w:color w:val="313131"/>
          <w:lang w:eastAsia="en-AU"/>
        </w:rPr>
        <w:t>contained within a facility. This category includes:</w:t>
      </w:r>
    </w:p>
    <w:p w14:paraId="00E48F58" w14:textId="77777777" w:rsidR="007A6987" w:rsidRPr="007A6987" w:rsidRDefault="007A6987" w:rsidP="007A6987">
      <w:pPr>
        <w:numPr>
          <w:ilvl w:val="0"/>
          <w:numId w:val="1"/>
        </w:numPr>
        <w:shd w:val="clear" w:color="auto" w:fill="FFFFFF"/>
        <w:spacing w:before="100" w:beforeAutospacing="1" w:after="100" w:afterAutospacing="1" w:line="240" w:lineRule="auto"/>
        <w:rPr>
          <w:rFonts w:ascii="Segoe UI" w:eastAsia="Times New Roman" w:hAnsi="Segoe UI" w:cs="Segoe UI"/>
          <w:color w:val="313131"/>
          <w:lang w:eastAsia="en-AU"/>
        </w:rPr>
      </w:pPr>
      <w:r w:rsidRPr="007A6987">
        <w:rPr>
          <w:rFonts w:ascii="Segoe UI" w:eastAsia="Times New Roman" w:hAnsi="Segoe UI" w:cs="Segoe UI"/>
          <w:color w:val="313131"/>
          <w:lang w:eastAsia="en-AU"/>
        </w:rPr>
        <w:t>GM crops grown in a field, either commercially or experimentally</w:t>
      </w:r>
    </w:p>
    <w:p w14:paraId="5B5BE461" w14:textId="77777777" w:rsidR="007A6987" w:rsidRPr="007A6987" w:rsidRDefault="007A6987" w:rsidP="007A6987">
      <w:pPr>
        <w:numPr>
          <w:ilvl w:val="0"/>
          <w:numId w:val="1"/>
        </w:numPr>
        <w:shd w:val="clear" w:color="auto" w:fill="FFFFFF"/>
        <w:spacing w:before="100" w:beforeAutospacing="1" w:after="100" w:afterAutospacing="1" w:line="240" w:lineRule="auto"/>
        <w:rPr>
          <w:rFonts w:ascii="Segoe UI" w:eastAsia="Times New Roman" w:hAnsi="Segoe UI" w:cs="Segoe UI"/>
          <w:color w:val="313131"/>
          <w:lang w:eastAsia="en-AU"/>
        </w:rPr>
      </w:pPr>
      <w:r w:rsidRPr="007A6987">
        <w:rPr>
          <w:rFonts w:ascii="Segoe UI" w:eastAsia="Times New Roman" w:hAnsi="Segoe UI" w:cs="Segoe UI"/>
          <w:color w:val="313131"/>
          <w:lang w:eastAsia="en-AU"/>
        </w:rPr>
        <w:t xml:space="preserve">GM medicines and vaccines tested in a clinical </w:t>
      </w:r>
      <w:proofErr w:type="gramStart"/>
      <w:r w:rsidRPr="007A6987">
        <w:rPr>
          <w:rFonts w:ascii="Segoe UI" w:eastAsia="Times New Roman" w:hAnsi="Segoe UI" w:cs="Segoe UI"/>
          <w:color w:val="313131"/>
          <w:lang w:eastAsia="en-AU"/>
        </w:rPr>
        <w:t>trial</w:t>
      </w:r>
      <w:proofErr w:type="gramEnd"/>
    </w:p>
    <w:p w14:paraId="6F554D08" w14:textId="77777777" w:rsidR="007A6987" w:rsidRPr="007A6987" w:rsidRDefault="007A6987" w:rsidP="007A6987">
      <w:pPr>
        <w:numPr>
          <w:ilvl w:val="0"/>
          <w:numId w:val="1"/>
        </w:numPr>
        <w:shd w:val="clear" w:color="auto" w:fill="FFFFFF"/>
        <w:spacing w:before="100" w:beforeAutospacing="1" w:after="100" w:afterAutospacing="1" w:line="240" w:lineRule="auto"/>
        <w:rPr>
          <w:rFonts w:ascii="Segoe UI" w:eastAsia="Times New Roman" w:hAnsi="Segoe UI" w:cs="Segoe UI"/>
          <w:color w:val="313131"/>
          <w:lang w:eastAsia="en-AU"/>
        </w:rPr>
      </w:pPr>
      <w:r w:rsidRPr="007A6987">
        <w:rPr>
          <w:rFonts w:ascii="Segoe UI" w:eastAsia="Times New Roman" w:hAnsi="Segoe UI" w:cs="Segoe UI"/>
          <w:color w:val="313131"/>
          <w:lang w:eastAsia="en-AU"/>
        </w:rPr>
        <w:t>GM medicines and vaccines for sale in a pharmacy or chemist.</w:t>
      </w:r>
    </w:p>
    <w:p w14:paraId="36791183" w14:textId="77777777" w:rsidR="007A6987" w:rsidRPr="007A6987" w:rsidRDefault="007A6987" w:rsidP="007A6987">
      <w:pPr>
        <w:shd w:val="clear" w:color="auto" w:fill="FFFFFF"/>
        <w:spacing w:before="100" w:beforeAutospacing="1" w:after="100" w:afterAutospacing="1" w:line="240" w:lineRule="auto"/>
        <w:rPr>
          <w:rFonts w:ascii="Segoe UI" w:eastAsia="Times New Roman" w:hAnsi="Segoe UI" w:cs="Segoe UI"/>
          <w:color w:val="313131"/>
          <w:lang w:eastAsia="en-AU"/>
        </w:rPr>
      </w:pPr>
      <w:r w:rsidRPr="007A6987">
        <w:rPr>
          <w:rFonts w:ascii="Segoe UI" w:eastAsia="Times New Roman" w:hAnsi="Segoe UI" w:cs="Segoe UI"/>
          <w:color w:val="313131"/>
          <w:lang w:eastAsia="en-AU"/>
        </w:rPr>
        <w:t>'Dealings' is the legal name for the list of approved activities with a GMO, such as:</w:t>
      </w:r>
    </w:p>
    <w:p w14:paraId="5DA18DC1" w14:textId="77777777" w:rsidR="007A6987" w:rsidRPr="007A6987" w:rsidRDefault="007A6987" w:rsidP="007A6987">
      <w:pPr>
        <w:numPr>
          <w:ilvl w:val="0"/>
          <w:numId w:val="2"/>
        </w:numPr>
        <w:shd w:val="clear" w:color="auto" w:fill="FFFFFF"/>
        <w:spacing w:before="100" w:beforeAutospacing="1" w:after="100" w:afterAutospacing="1" w:line="240" w:lineRule="auto"/>
        <w:rPr>
          <w:rFonts w:ascii="Segoe UI" w:eastAsia="Times New Roman" w:hAnsi="Segoe UI" w:cs="Segoe UI"/>
          <w:color w:val="313131"/>
          <w:lang w:eastAsia="en-AU"/>
        </w:rPr>
      </w:pPr>
      <w:r w:rsidRPr="007A6987">
        <w:rPr>
          <w:rFonts w:ascii="Segoe UI" w:eastAsia="Times New Roman" w:hAnsi="Segoe UI" w:cs="Segoe UI"/>
          <w:color w:val="313131"/>
          <w:lang w:eastAsia="en-AU"/>
        </w:rPr>
        <w:t>making</w:t>
      </w:r>
    </w:p>
    <w:p w14:paraId="19C803AD" w14:textId="77777777" w:rsidR="007A6987" w:rsidRPr="007A6987" w:rsidRDefault="007A6987" w:rsidP="007A6987">
      <w:pPr>
        <w:numPr>
          <w:ilvl w:val="0"/>
          <w:numId w:val="2"/>
        </w:numPr>
        <w:shd w:val="clear" w:color="auto" w:fill="FFFFFF"/>
        <w:spacing w:before="100" w:beforeAutospacing="1" w:after="100" w:afterAutospacing="1" w:line="240" w:lineRule="auto"/>
        <w:rPr>
          <w:rFonts w:ascii="Segoe UI" w:eastAsia="Times New Roman" w:hAnsi="Segoe UI" w:cs="Segoe UI"/>
          <w:color w:val="313131"/>
          <w:lang w:eastAsia="en-AU"/>
        </w:rPr>
      </w:pPr>
      <w:r w:rsidRPr="007A6987">
        <w:rPr>
          <w:rFonts w:ascii="Segoe UI" w:eastAsia="Times New Roman" w:hAnsi="Segoe UI" w:cs="Segoe UI"/>
          <w:color w:val="313131"/>
          <w:lang w:eastAsia="en-AU"/>
        </w:rPr>
        <w:t>growing</w:t>
      </w:r>
    </w:p>
    <w:p w14:paraId="2941C02B" w14:textId="77777777" w:rsidR="007A6987" w:rsidRPr="007A6987" w:rsidRDefault="007A6987" w:rsidP="007A6987">
      <w:pPr>
        <w:numPr>
          <w:ilvl w:val="0"/>
          <w:numId w:val="2"/>
        </w:numPr>
        <w:shd w:val="clear" w:color="auto" w:fill="FFFFFF"/>
        <w:spacing w:before="100" w:beforeAutospacing="1" w:after="100" w:afterAutospacing="1" w:line="240" w:lineRule="auto"/>
        <w:rPr>
          <w:rFonts w:ascii="Segoe UI" w:eastAsia="Times New Roman" w:hAnsi="Segoe UI" w:cs="Segoe UI"/>
          <w:color w:val="313131"/>
          <w:lang w:eastAsia="en-AU"/>
        </w:rPr>
      </w:pPr>
      <w:r w:rsidRPr="007A6987">
        <w:rPr>
          <w:rFonts w:ascii="Segoe UI" w:eastAsia="Times New Roman" w:hAnsi="Segoe UI" w:cs="Segoe UI"/>
          <w:color w:val="313131"/>
          <w:lang w:eastAsia="en-AU"/>
        </w:rPr>
        <w:t>research</w:t>
      </w:r>
    </w:p>
    <w:p w14:paraId="5A75ED90" w14:textId="77777777" w:rsidR="007A6987" w:rsidRPr="007A6987" w:rsidRDefault="007A6987" w:rsidP="007A6987">
      <w:pPr>
        <w:numPr>
          <w:ilvl w:val="0"/>
          <w:numId w:val="2"/>
        </w:numPr>
        <w:shd w:val="clear" w:color="auto" w:fill="FFFFFF"/>
        <w:spacing w:before="100" w:beforeAutospacing="1" w:after="100" w:afterAutospacing="1" w:line="240" w:lineRule="auto"/>
        <w:rPr>
          <w:rFonts w:ascii="Segoe UI" w:eastAsia="Times New Roman" w:hAnsi="Segoe UI" w:cs="Segoe UI"/>
          <w:color w:val="313131"/>
          <w:lang w:eastAsia="en-AU"/>
        </w:rPr>
      </w:pPr>
      <w:r w:rsidRPr="007A6987">
        <w:rPr>
          <w:rFonts w:ascii="Segoe UI" w:eastAsia="Times New Roman" w:hAnsi="Segoe UI" w:cs="Segoe UI"/>
          <w:color w:val="313131"/>
          <w:lang w:eastAsia="en-AU"/>
        </w:rPr>
        <w:t>transport and</w:t>
      </w:r>
    </w:p>
    <w:p w14:paraId="79279323" w14:textId="77777777" w:rsidR="007A6987" w:rsidRPr="007A6987" w:rsidRDefault="007A6987" w:rsidP="007A6987">
      <w:pPr>
        <w:numPr>
          <w:ilvl w:val="0"/>
          <w:numId w:val="2"/>
        </w:numPr>
        <w:shd w:val="clear" w:color="auto" w:fill="FFFFFF"/>
        <w:spacing w:before="100" w:beforeAutospacing="1" w:after="100" w:afterAutospacing="1" w:line="240" w:lineRule="auto"/>
        <w:rPr>
          <w:rFonts w:ascii="Segoe UI" w:eastAsia="Times New Roman" w:hAnsi="Segoe UI" w:cs="Segoe UI"/>
          <w:color w:val="313131"/>
          <w:lang w:eastAsia="en-AU"/>
        </w:rPr>
      </w:pPr>
      <w:r w:rsidRPr="007A6987">
        <w:rPr>
          <w:rFonts w:ascii="Segoe UI" w:eastAsia="Times New Roman" w:hAnsi="Segoe UI" w:cs="Segoe UI"/>
          <w:color w:val="313131"/>
          <w:lang w:eastAsia="en-AU"/>
        </w:rPr>
        <w:t>disposal.</w:t>
      </w:r>
    </w:p>
    <w:p w14:paraId="7E44A025" w14:textId="77777777" w:rsidR="007A6987" w:rsidRPr="007A6987" w:rsidRDefault="007A6987" w:rsidP="007A6987">
      <w:pPr>
        <w:shd w:val="clear" w:color="auto" w:fill="FFFFFF"/>
        <w:spacing w:before="100" w:beforeAutospacing="1" w:after="100" w:afterAutospacing="1" w:line="240" w:lineRule="auto"/>
        <w:rPr>
          <w:rFonts w:ascii="Segoe UI" w:eastAsia="Times New Roman" w:hAnsi="Segoe UI" w:cs="Segoe UI"/>
          <w:color w:val="313131"/>
          <w:lang w:eastAsia="en-AU"/>
        </w:rPr>
      </w:pPr>
      <w:r w:rsidRPr="007A6987">
        <w:rPr>
          <w:rFonts w:ascii="Segoe UI" w:eastAsia="Times New Roman" w:hAnsi="Segoe UI" w:cs="Segoe UI"/>
          <w:color w:val="313131"/>
          <w:lang w:eastAsia="en-AU"/>
        </w:rPr>
        <w:t>The term ‘intentional release into the environment’ was chosen with GM plants in mind. The term separates research on plants in greenhouses from plants being grown in a field. When the laws were originally written most of the licences were for crops. Now that we are seeing GM therapeutics being developed and commercialised, this term also applies to them even though it doesn’t adequately describe the activities.</w:t>
      </w:r>
    </w:p>
    <w:p w14:paraId="29C0A427" w14:textId="77777777" w:rsidR="007A6987" w:rsidRPr="007A6987" w:rsidRDefault="007A6987" w:rsidP="007A6987">
      <w:pPr>
        <w:shd w:val="clear" w:color="auto" w:fill="FFFFFF"/>
        <w:spacing w:before="100" w:beforeAutospacing="1" w:after="100" w:afterAutospacing="1" w:line="240" w:lineRule="auto"/>
        <w:rPr>
          <w:rFonts w:ascii="Segoe UI" w:eastAsia="Times New Roman" w:hAnsi="Segoe UI" w:cs="Segoe UI"/>
          <w:color w:val="313131"/>
          <w:lang w:eastAsia="en-AU"/>
        </w:rPr>
      </w:pPr>
      <w:r w:rsidRPr="007A6987">
        <w:rPr>
          <w:rFonts w:ascii="Segoe UI" w:eastAsia="Times New Roman" w:hAnsi="Segoe UI" w:cs="Segoe UI"/>
          <w:color w:val="313131"/>
          <w:lang w:eastAsia="en-AU"/>
        </w:rPr>
        <w:lastRenderedPageBreak/>
        <w:t>An </w:t>
      </w:r>
      <w:r w:rsidRPr="007A6987">
        <w:rPr>
          <w:rFonts w:ascii="Segoe UI" w:eastAsia="Times New Roman" w:hAnsi="Segoe UI" w:cs="Segoe UI"/>
          <w:b/>
          <w:bCs/>
          <w:color w:val="313131"/>
          <w:lang w:eastAsia="en-AU"/>
        </w:rPr>
        <w:t>intentional release into the environment of a GM vaccine</w:t>
      </w:r>
      <w:r w:rsidRPr="007A6987">
        <w:rPr>
          <w:rFonts w:ascii="Segoe UI" w:eastAsia="Times New Roman" w:hAnsi="Segoe UI" w:cs="Segoe UI"/>
          <w:color w:val="313131"/>
          <w:lang w:eastAsia="en-AU"/>
        </w:rPr>
        <w:t> </w:t>
      </w:r>
      <w:r w:rsidRPr="007A6987">
        <w:rPr>
          <w:rFonts w:ascii="Segoe UI" w:eastAsia="Times New Roman" w:hAnsi="Segoe UI" w:cs="Segoe UI"/>
          <w:b/>
          <w:bCs/>
          <w:color w:val="313131"/>
          <w:lang w:eastAsia="en-AU"/>
        </w:rPr>
        <w:t>means </w:t>
      </w:r>
      <w:r w:rsidRPr="007A6987">
        <w:rPr>
          <w:rFonts w:ascii="Segoe UI" w:eastAsia="Times New Roman" w:hAnsi="Segoe UI" w:cs="Segoe UI"/>
          <w:color w:val="313131"/>
          <w:lang w:eastAsia="en-AU"/>
        </w:rPr>
        <w:t xml:space="preserve">that a patient or trial participant is given a vaccine in a hospital or clinic rather than in a research laboratory. It may also mean they can purchase a GM vaccine at a pharmacy or chemist and bring it to their GP for administration. </w:t>
      </w:r>
      <w:proofErr w:type="gramStart"/>
      <w:r w:rsidRPr="007A6987">
        <w:rPr>
          <w:rFonts w:ascii="Segoe UI" w:eastAsia="Times New Roman" w:hAnsi="Segoe UI" w:cs="Segoe UI"/>
          <w:color w:val="313131"/>
          <w:lang w:eastAsia="en-AU"/>
        </w:rPr>
        <w:t>All of</w:t>
      </w:r>
      <w:proofErr w:type="gramEnd"/>
      <w:r w:rsidRPr="007A6987">
        <w:rPr>
          <w:rFonts w:ascii="Segoe UI" w:eastAsia="Times New Roman" w:hAnsi="Segoe UI" w:cs="Segoe UI"/>
          <w:color w:val="313131"/>
          <w:lang w:eastAsia="en-AU"/>
        </w:rPr>
        <w:t xml:space="preserve"> the usual rules for clinical trials apply to a trial of a GM vaccine authorised by a DIR. This includes the requirement for fully informed consent, oversight by a human research ethics committee and individual approval by an appropriate doctor or physician. </w:t>
      </w:r>
      <w:proofErr w:type="gramStart"/>
      <w:r w:rsidRPr="007A6987">
        <w:rPr>
          <w:rFonts w:ascii="Segoe UI" w:eastAsia="Times New Roman" w:hAnsi="Segoe UI" w:cs="Segoe UI"/>
          <w:color w:val="313131"/>
          <w:lang w:eastAsia="en-AU"/>
        </w:rPr>
        <w:t>All of</w:t>
      </w:r>
      <w:proofErr w:type="gramEnd"/>
      <w:r w:rsidRPr="007A6987">
        <w:rPr>
          <w:rFonts w:ascii="Segoe UI" w:eastAsia="Times New Roman" w:hAnsi="Segoe UI" w:cs="Segoe UI"/>
          <w:color w:val="313131"/>
          <w:lang w:eastAsia="en-AU"/>
        </w:rPr>
        <w:t xml:space="preserve"> these requirements must be met before anyone can be exposed to a GM vaccine.</w:t>
      </w:r>
    </w:p>
    <w:p w14:paraId="5E66379F" w14:textId="77777777" w:rsidR="007A6987" w:rsidRPr="007A6987" w:rsidRDefault="007A6987" w:rsidP="007A6987">
      <w:pPr>
        <w:shd w:val="clear" w:color="auto" w:fill="FFFFFF"/>
        <w:spacing w:before="100" w:beforeAutospacing="1" w:after="100" w:afterAutospacing="1" w:line="240" w:lineRule="auto"/>
        <w:outlineLvl w:val="1"/>
        <w:rPr>
          <w:rFonts w:ascii="Segoe UI" w:eastAsia="Times New Roman" w:hAnsi="Segoe UI" w:cs="Segoe UI"/>
          <w:b/>
          <w:bCs/>
          <w:color w:val="313131"/>
          <w:sz w:val="36"/>
          <w:szCs w:val="36"/>
          <w:lang w:eastAsia="en-AU"/>
        </w:rPr>
      </w:pPr>
      <w:r w:rsidRPr="007A6987">
        <w:rPr>
          <w:rFonts w:ascii="Segoe UI" w:eastAsia="Times New Roman" w:hAnsi="Segoe UI" w:cs="Segoe UI"/>
          <w:b/>
          <w:bCs/>
          <w:color w:val="313131"/>
          <w:sz w:val="36"/>
          <w:szCs w:val="36"/>
          <w:lang w:eastAsia="en-AU"/>
        </w:rPr>
        <w:t> Further information:</w:t>
      </w:r>
    </w:p>
    <w:p w14:paraId="1270A53B" w14:textId="77777777" w:rsidR="007A6987" w:rsidRPr="007A6987" w:rsidRDefault="00012794" w:rsidP="007A6987">
      <w:pPr>
        <w:numPr>
          <w:ilvl w:val="0"/>
          <w:numId w:val="3"/>
        </w:numPr>
        <w:shd w:val="clear" w:color="auto" w:fill="FFFFFF"/>
        <w:spacing w:before="100" w:beforeAutospacing="1" w:after="100" w:afterAutospacing="1" w:line="240" w:lineRule="auto"/>
        <w:rPr>
          <w:rFonts w:ascii="Segoe UI" w:eastAsia="Times New Roman" w:hAnsi="Segoe UI" w:cs="Segoe UI"/>
          <w:color w:val="313131"/>
          <w:lang w:eastAsia="en-AU"/>
        </w:rPr>
      </w:pPr>
      <w:hyperlink r:id="rId7" w:tooltip="Genetically modified organisms in Australia" w:history="1">
        <w:r w:rsidR="007A6987" w:rsidRPr="007A6987">
          <w:rPr>
            <w:rFonts w:ascii="Segoe UI" w:eastAsia="Times New Roman" w:hAnsi="Segoe UI" w:cs="Segoe UI"/>
            <w:color w:val="006FB0"/>
            <w:u w:val="single"/>
            <w:lang w:eastAsia="en-AU"/>
          </w:rPr>
          <w:t>Genetically modified organisms in Australia</w:t>
        </w:r>
      </w:hyperlink>
    </w:p>
    <w:p w14:paraId="067F9371" w14:textId="77777777" w:rsidR="007A6987" w:rsidRPr="007A6987" w:rsidRDefault="00012794" w:rsidP="007A6987">
      <w:pPr>
        <w:numPr>
          <w:ilvl w:val="0"/>
          <w:numId w:val="3"/>
        </w:numPr>
        <w:shd w:val="clear" w:color="auto" w:fill="FFFFFF"/>
        <w:spacing w:before="100" w:beforeAutospacing="1" w:after="100" w:afterAutospacing="1" w:line="240" w:lineRule="auto"/>
        <w:rPr>
          <w:rFonts w:ascii="Segoe UI" w:eastAsia="Times New Roman" w:hAnsi="Segoe UI" w:cs="Segoe UI"/>
          <w:color w:val="313131"/>
          <w:lang w:eastAsia="en-AU"/>
        </w:rPr>
      </w:pPr>
      <w:hyperlink r:id="rId8" w:tooltip="How are genetically modified organisms (GMOs) regulated in Australia" w:history="1">
        <w:r w:rsidR="007A6987" w:rsidRPr="007A6987">
          <w:rPr>
            <w:rFonts w:ascii="Segoe UI" w:eastAsia="Times New Roman" w:hAnsi="Segoe UI" w:cs="Segoe UI"/>
            <w:color w:val="006FB0"/>
            <w:u w:val="single"/>
            <w:lang w:eastAsia="en-AU"/>
          </w:rPr>
          <w:t>How are Genetically modified organisms (GMOs) regulated in Australia</w:t>
        </w:r>
      </w:hyperlink>
    </w:p>
    <w:p w14:paraId="7CB343A1" w14:textId="77777777" w:rsidR="00280050" w:rsidRDefault="00280050"/>
    <w:sectPr w:rsidR="00280050" w:rsidSect="0001279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6D920" w14:textId="77777777" w:rsidR="00F25EF5" w:rsidRDefault="00F25EF5" w:rsidP="00F25EF5">
      <w:pPr>
        <w:spacing w:after="0" w:line="240" w:lineRule="auto"/>
      </w:pPr>
      <w:r>
        <w:separator/>
      </w:r>
    </w:p>
  </w:endnote>
  <w:endnote w:type="continuationSeparator" w:id="0">
    <w:p w14:paraId="448395D3" w14:textId="77777777" w:rsidR="00F25EF5" w:rsidRDefault="00F25EF5" w:rsidP="00F2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68FB" w14:textId="77777777" w:rsidR="00F25EF5" w:rsidRDefault="00F25EF5" w:rsidP="00F25EF5">
      <w:pPr>
        <w:spacing w:after="0" w:line="240" w:lineRule="auto"/>
      </w:pPr>
      <w:r>
        <w:separator/>
      </w:r>
    </w:p>
  </w:footnote>
  <w:footnote w:type="continuationSeparator" w:id="0">
    <w:p w14:paraId="6732864F" w14:textId="77777777" w:rsidR="00F25EF5" w:rsidRDefault="00F25EF5" w:rsidP="00F25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D6B0" w14:textId="13D275AD" w:rsidR="00F25EF5" w:rsidRPr="00C921BB" w:rsidRDefault="00C921BB" w:rsidP="00C921BB">
    <w:pPr>
      <w:pStyle w:val="Header"/>
    </w:pPr>
    <w:r>
      <w:rPr>
        <w:noProof/>
      </w:rPr>
      <w:drawing>
        <wp:inline distT="0" distB="0" distL="0" distR="0" wp14:anchorId="0BF92F43" wp14:editId="7196E6C4">
          <wp:extent cx="3828415" cy="878205"/>
          <wp:effectExtent l="0" t="0" r="635" b="0"/>
          <wp:docPr id="1" name="Picture 1" descr="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Health OGT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841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E144B"/>
    <w:multiLevelType w:val="multilevel"/>
    <w:tmpl w:val="913E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87F8B"/>
    <w:multiLevelType w:val="multilevel"/>
    <w:tmpl w:val="A038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85A2A"/>
    <w:multiLevelType w:val="multilevel"/>
    <w:tmpl w:val="AF72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726940">
    <w:abstractNumId w:val="1"/>
  </w:num>
  <w:num w:numId="2" w16cid:durableId="672998443">
    <w:abstractNumId w:val="0"/>
  </w:num>
  <w:num w:numId="3" w16cid:durableId="791438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87"/>
    <w:rsid w:val="00012794"/>
    <w:rsid w:val="00280050"/>
    <w:rsid w:val="007A6987"/>
    <w:rsid w:val="00C921BB"/>
    <w:rsid w:val="00F14D6C"/>
    <w:rsid w:val="00F25E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3F19A4"/>
  <w15:chartTrackingRefBased/>
  <w15:docId w15:val="{21B6798F-6D95-4687-92D2-CEA72532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9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A6987"/>
    <w:pPr>
      <w:spacing w:before="100" w:beforeAutospacing="1" w:after="100" w:afterAutospacing="1" w:line="240" w:lineRule="auto"/>
      <w:outlineLvl w:val="1"/>
    </w:pPr>
    <w:rPr>
      <w:rFonts w:eastAsia="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6987"/>
    <w:rPr>
      <w:rFonts w:eastAsia="Times New Roman"/>
      <w:b/>
      <w:bCs/>
      <w:sz w:val="36"/>
      <w:szCs w:val="36"/>
      <w:lang w:eastAsia="en-AU"/>
    </w:rPr>
  </w:style>
  <w:style w:type="paragraph" w:styleId="NormalWeb">
    <w:name w:val="Normal (Web)"/>
    <w:basedOn w:val="Normal"/>
    <w:uiPriority w:val="99"/>
    <w:semiHidden/>
    <w:unhideWhenUsed/>
    <w:rsid w:val="007A6987"/>
    <w:pPr>
      <w:spacing w:before="100" w:beforeAutospacing="1" w:after="100" w:afterAutospacing="1" w:line="240" w:lineRule="auto"/>
    </w:pPr>
    <w:rPr>
      <w:rFonts w:eastAsia="Times New Roman"/>
      <w:lang w:eastAsia="en-AU"/>
    </w:rPr>
  </w:style>
  <w:style w:type="character" w:styleId="Strong">
    <w:name w:val="Strong"/>
    <w:basedOn w:val="DefaultParagraphFont"/>
    <w:uiPriority w:val="22"/>
    <w:qFormat/>
    <w:rsid w:val="007A6987"/>
    <w:rPr>
      <w:b/>
      <w:bCs/>
    </w:rPr>
  </w:style>
  <w:style w:type="character" w:styleId="HTMLCite">
    <w:name w:val="HTML Cite"/>
    <w:basedOn w:val="DefaultParagraphFont"/>
    <w:uiPriority w:val="99"/>
    <w:semiHidden/>
    <w:unhideWhenUsed/>
    <w:rsid w:val="007A6987"/>
    <w:rPr>
      <w:i/>
      <w:iCs/>
    </w:rPr>
  </w:style>
  <w:style w:type="character" w:styleId="Hyperlink">
    <w:name w:val="Hyperlink"/>
    <w:basedOn w:val="DefaultParagraphFont"/>
    <w:uiPriority w:val="99"/>
    <w:semiHidden/>
    <w:unhideWhenUsed/>
    <w:rsid w:val="007A6987"/>
    <w:rPr>
      <w:color w:val="0000FF"/>
      <w:u w:val="single"/>
    </w:rPr>
  </w:style>
  <w:style w:type="character" w:customStyle="1" w:styleId="Heading1Char">
    <w:name w:val="Heading 1 Char"/>
    <w:basedOn w:val="DefaultParagraphFont"/>
    <w:link w:val="Heading1"/>
    <w:uiPriority w:val="9"/>
    <w:rsid w:val="007A698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25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EF5"/>
  </w:style>
  <w:style w:type="paragraph" w:styleId="Footer">
    <w:name w:val="footer"/>
    <w:basedOn w:val="Normal"/>
    <w:link w:val="FooterChar"/>
    <w:uiPriority w:val="99"/>
    <w:unhideWhenUsed/>
    <w:rsid w:val="00F25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320441">
      <w:bodyDiv w:val="1"/>
      <w:marLeft w:val="0"/>
      <w:marRight w:val="0"/>
      <w:marTop w:val="0"/>
      <w:marBottom w:val="0"/>
      <w:divBdr>
        <w:top w:val="none" w:sz="0" w:space="0" w:color="auto"/>
        <w:left w:val="none" w:sz="0" w:space="0" w:color="auto"/>
        <w:bottom w:val="none" w:sz="0" w:space="0" w:color="auto"/>
        <w:right w:val="none" w:sz="0" w:space="0" w:color="auto"/>
      </w:divBdr>
    </w:div>
    <w:div w:id="154713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resources/publications/how-are-genetically-modified-organisms-gmos-regulated-australia" TargetMode="External"/><Relationship Id="rId3" Type="http://schemas.openxmlformats.org/officeDocument/2006/relationships/settings" Target="settings.xml"/><Relationship Id="rId7" Type="http://schemas.openxmlformats.org/officeDocument/2006/relationships/hyperlink" Target="https://www.ogtr.gov.au/resources/publications/genetically-modified-organisms-austra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 we mean by Intentional Release?</dc:title>
  <dc:subject/>
  <dc:creator>OGTR.Voicemail@health.gov.au</dc:creator>
  <cp:keywords/>
  <dc:description/>
  <cp:lastModifiedBy>SMITH, Justine</cp:lastModifiedBy>
  <cp:revision>4</cp:revision>
  <dcterms:created xsi:type="dcterms:W3CDTF">2023-12-06T00:16:00Z</dcterms:created>
  <dcterms:modified xsi:type="dcterms:W3CDTF">2023-12-06T23:06:00Z</dcterms:modified>
</cp:coreProperties>
</file>