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E66C" w14:textId="11FF47A1" w:rsidR="000812D3" w:rsidRPr="002A5DBD" w:rsidRDefault="005410FF" w:rsidP="0032030D">
      <w:pPr>
        <w:pStyle w:val="Heading1"/>
        <w:spacing w:before="240"/>
        <w:jc w:val="center"/>
        <w:rPr>
          <w:rFonts w:ascii="Arial" w:hAnsi="Arial" w:cs="Arial"/>
          <w:szCs w:val="28"/>
        </w:rPr>
      </w:pPr>
      <w:r>
        <w:rPr>
          <w:rFonts w:ascii="Arial" w:hAnsi="Arial" w:cs="Arial"/>
          <w:szCs w:val="28"/>
        </w:rPr>
        <w:t xml:space="preserve">                                                                                                                                                   </w:t>
      </w:r>
      <w:r w:rsidR="000812D3" w:rsidRPr="002A5DBD">
        <w:rPr>
          <w:rFonts w:ascii="Arial" w:hAnsi="Arial" w:cs="Arial"/>
          <w:szCs w:val="28"/>
        </w:rPr>
        <w:t>Policy on</w:t>
      </w:r>
      <w:r w:rsidR="00BA490C" w:rsidRPr="002A5DBD">
        <w:rPr>
          <w:rFonts w:ascii="Arial" w:hAnsi="Arial" w:cs="Arial"/>
          <w:szCs w:val="28"/>
        </w:rPr>
        <w:t xml:space="preserve"> scope for</w:t>
      </w:r>
      <w:r w:rsidR="00FA68E1" w:rsidRPr="002A5DBD">
        <w:rPr>
          <w:rFonts w:ascii="Arial" w:hAnsi="Arial" w:cs="Arial"/>
          <w:szCs w:val="28"/>
        </w:rPr>
        <w:t xml:space="preserve"> variation of GMO licences</w:t>
      </w:r>
    </w:p>
    <w:p w14:paraId="11838F6F" w14:textId="77777777" w:rsidR="00FD79FF" w:rsidRPr="002A5DBD" w:rsidRDefault="00FD79FF" w:rsidP="00FD79FF">
      <w:pPr>
        <w:spacing w:before="180"/>
        <w:rPr>
          <w:rFonts w:ascii="Arial" w:hAnsi="Arial" w:cs="Arial"/>
          <w:sz w:val="22"/>
        </w:rPr>
      </w:pPr>
      <w:r w:rsidRPr="002A5DBD">
        <w:rPr>
          <w:rFonts w:ascii="Arial" w:hAnsi="Arial" w:cs="Arial"/>
          <w:sz w:val="22"/>
        </w:rPr>
        <w:t xml:space="preserve">This document provides information on the scope of changes </w:t>
      </w:r>
      <w:r w:rsidR="00C54EEB" w:rsidRPr="002A5DBD">
        <w:rPr>
          <w:rFonts w:ascii="Arial" w:hAnsi="Arial" w:cs="Arial"/>
          <w:sz w:val="22"/>
        </w:rPr>
        <w:t>which may be made</w:t>
      </w:r>
      <w:r w:rsidRPr="002A5DBD">
        <w:rPr>
          <w:rFonts w:ascii="Arial" w:hAnsi="Arial" w:cs="Arial"/>
          <w:sz w:val="22"/>
        </w:rPr>
        <w:t xml:space="preserve"> to a </w:t>
      </w:r>
      <w:r w:rsidR="0085357A">
        <w:rPr>
          <w:rFonts w:ascii="Arial" w:hAnsi="Arial" w:cs="Arial"/>
          <w:sz w:val="22"/>
        </w:rPr>
        <w:t>genetically modified organism (GMO)</w:t>
      </w:r>
      <w:r w:rsidR="00C54EEB" w:rsidRPr="002A5DBD">
        <w:rPr>
          <w:rFonts w:ascii="Arial" w:hAnsi="Arial" w:cs="Arial"/>
          <w:sz w:val="22"/>
        </w:rPr>
        <w:t xml:space="preserve"> licence</w:t>
      </w:r>
      <w:r w:rsidRPr="002A5DBD">
        <w:rPr>
          <w:rFonts w:ascii="Arial" w:hAnsi="Arial" w:cs="Arial"/>
          <w:sz w:val="22"/>
        </w:rPr>
        <w:t xml:space="preserve"> after the licence has been </w:t>
      </w:r>
      <w:proofErr w:type="gramStart"/>
      <w:r w:rsidRPr="002A5DBD">
        <w:rPr>
          <w:rFonts w:ascii="Arial" w:hAnsi="Arial" w:cs="Arial"/>
          <w:sz w:val="22"/>
        </w:rPr>
        <w:t>issued</w:t>
      </w:r>
      <w:r w:rsidR="00C54EEB" w:rsidRPr="002A5DBD">
        <w:rPr>
          <w:rFonts w:ascii="Arial" w:hAnsi="Arial" w:cs="Arial"/>
          <w:sz w:val="22"/>
        </w:rPr>
        <w:t>,</w:t>
      </w:r>
      <w:r w:rsidR="0085357A">
        <w:rPr>
          <w:rFonts w:ascii="Arial" w:hAnsi="Arial" w:cs="Arial"/>
          <w:sz w:val="22"/>
        </w:rPr>
        <w:t xml:space="preserve"> </w:t>
      </w:r>
      <w:r w:rsidR="00C54EEB" w:rsidRPr="002A5DBD">
        <w:rPr>
          <w:rFonts w:ascii="Arial" w:hAnsi="Arial" w:cs="Arial"/>
          <w:sz w:val="22"/>
        </w:rPr>
        <w:t>and</w:t>
      </w:r>
      <w:proofErr w:type="gramEnd"/>
      <w:r w:rsidR="00C54EEB" w:rsidRPr="002A5DBD">
        <w:rPr>
          <w:rFonts w:ascii="Arial" w:hAnsi="Arial" w:cs="Arial"/>
          <w:sz w:val="22"/>
        </w:rPr>
        <w:t xml:space="preserve"> outlines the Gene Technology Regulator’s</w:t>
      </w:r>
      <w:r w:rsidR="00DC56F6" w:rsidRPr="002A5DBD">
        <w:rPr>
          <w:rFonts w:ascii="Arial" w:hAnsi="Arial" w:cs="Arial"/>
          <w:sz w:val="22"/>
        </w:rPr>
        <w:t xml:space="preserve"> </w:t>
      </w:r>
      <w:r w:rsidR="000472F5">
        <w:rPr>
          <w:rFonts w:ascii="Arial" w:hAnsi="Arial" w:cs="Arial"/>
          <w:sz w:val="22"/>
        </w:rPr>
        <w:t xml:space="preserve">(the Regulator’s) </w:t>
      </w:r>
      <w:r w:rsidR="00C54EEB" w:rsidRPr="002A5DBD">
        <w:rPr>
          <w:rFonts w:ascii="Arial" w:hAnsi="Arial" w:cs="Arial"/>
          <w:sz w:val="22"/>
        </w:rPr>
        <w:t>approach to considering applications to vary conditions of a GMO licence</w:t>
      </w:r>
      <w:r w:rsidRPr="002A5DBD">
        <w:rPr>
          <w:rFonts w:ascii="Arial" w:hAnsi="Arial" w:cs="Arial"/>
          <w:sz w:val="22"/>
        </w:rPr>
        <w:t>.</w:t>
      </w:r>
    </w:p>
    <w:p w14:paraId="7F2252C3" w14:textId="77777777" w:rsidR="00B57CF7" w:rsidRPr="002A5DBD" w:rsidRDefault="00B57CF7" w:rsidP="00B57CF7">
      <w:pPr>
        <w:spacing w:before="180"/>
        <w:rPr>
          <w:rFonts w:ascii="Arial" w:hAnsi="Arial" w:cs="Arial"/>
          <w:sz w:val="22"/>
        </w:rPr>
      </w:pPr>
      <w:r w:rsidRPr="002A5DBD">
        <w:rPr>
          <w:rFonts w:ascii="Arial" w:hAnsi="Arial" w:cs="Arial"/>
          <w:sz w:val="22"/>
        </w:rPr>
        <w:t xml:space="preserve">The tables below provide guidance on the types of changes that are likely to be authorised as a variation, as well as </w:t>
      </w:r>
      <w:r w:rsidR="00270FF5" w:rsidRPr="002A5DBD">
        <w:rPr>
          <w:rFonts w:ascii="Arial" w:hAnsi="Arial" w:cs="Arial"/>
          <w:sz w:val="22"/>
        </w:rPr>
        <w:t xml:space="preserve">on </w:t>
      </w:r>
      <w:r w:rsidRPr="002A5DBD">
        <w:rPr>
          <w:rFonts w:ascii="Arial" w:hAnsi="Arial" w:cs="Arial"/>
          <w:sz w:val="22"/>
        </w:rPr>
        <w:t xml:space="preserve">those that </w:t>
      </w:r>
      <w:r w:rsidR="00270FF5" w:rsidRPr="002A5DBD">
        <w:rPr>
          <w:rFonts w:ascii="Arial" w:hAnsi="Arial" w:cs="Arial"/>
          <w:sz w:val="22"/>
        </w:rPr>
        <w:t>are likely to</w:t>
      </w:r>
      <w:r w:rsidRPr="002A5DBD">
        <w:rPr>
          <w:rFonts w:ascii="Arial" w:hAnsi="Arial" w:cs="Arial"/>
          <w:sz w:val="22"/>
        </w:rPr>
        <w:t xml:space="preserve"> require a new GMO licence application.</w:t>
      </w:r>
    </w:p>
    <w:p w14:paraId="62CE00F1" w14:textId="77777777" w:rsidR="00BB09BA" w:rsidRPr="002A5DBD" w:rsidRDefault="00BB09BA" w:rsidP="00020FDE">
      <w:pPr>
        <w:spacing w:before="180"/>
        <w:rPr>
          <w:rFonts w:ascii="Arial" w:hAnsi="Arial" w:cs="Arial"/>
          <w:sz w:val="22"/>
        </w:rPr>
      </w:pPr>
      <w:r w:rsidRPr="002A5DBD">
        <w:rPr>
          <w:rFonts w:ascii="Arial" w:hAnsi="Arial" w:cs="Arial"/>
          <w:sz w:val="22"/>
        </w:rPr>
        <w:t xml:space="preserve">Note that this document is a guide only and is based on the OGTR's interpretation of the relevant provisions of the </w:t>
      </w:r>
      <w:r w:rsidR="00885F8D" w:rsidRPr="002A5DBD">
        <w:rPr>
          <w:rFonts w:ascii="Arial" w:hAnsi="Arial" w:cs="Arial"/>
          <w:i/>
          <w:sz w:val="22"/>
        </w:rPr>
        <w:t>Gene Technology Act 2000</w:t>
      </w:r>
      <w:r w:rsidR="00885F8D" w:rsidRPr="002A5DBD">
        <w:rPr>
          <w:rFonts w:ascii="Arial" w:hAnsi="Arial" w:cs="Arial"/>
          <w:sz w:val="22"/>
        </w:rPr>
        <w:t xml:space="preserve"> (the Act)</w:t>
      </w:r>
      <w:r w:rsidRPr="002A5DBD">
        <w:rPr>
          <w:rFonts w:ascii="Arial" w:hAnsi="Arial" w:cs="Arial"/>
          <w:sz w:val="22"/>
        </w:rPr>
        <w:t xml:space="preserve">. No conclusions should be drawn about </w:t>
      </w:r>
      <w:proofErr w:type="gramStart"/>
      <w:r w:rsidRPr="002A5DBD">
        <w:rPr>
          <w:rFonts w:ascii="Arial" w:hAnsi="Arial" w:cs="Arial"/>
          <w:sz w:val="22"/>
        </w:rPr>
        <w:t>whether or not</w:t>
      </w:r>
      <w:proofErr w:type="gramEnd"/>
      <w:r w:rsidRPr="002A5DBD">
        <w:rPr>
          <w:rFonts w:ascii="Arial" w:hAnsi="Arial" w:cs="Arial"/>
          <w:sz w:val="22"/>
        </w:rPr>
        <w:t xml:space="preserve"> a particular application for variation will be approved, as each application will be assessed on its individual merits.</w:t>
      </w:r>
    </w:p>
    <w:p w14:paraId="1407125E" w14:textId="77777777" w:rsidR="00270FF5" w:rsidRPr="002A5DBD" w:rsidRDefault="00270FF5" w:rsidP="00350CC0">
      <w:pPr>
        <w:spacing w:before="120"/>
        <w:outlineLvl w:val="1"/>
        <w:rPr>
          <w:rFonts w:ascii="Arial" w:hAnsi="Arial" w:cs="Arial"/>
          <w:b/>
          <w:sz w:val="22"/>
        </w:rPr>
      </w:pPr>
      <w:r w:rsidRPr="002A5DBD">
        <w:rPr>
          <w:rFonts w:ascii="Arial" w:hAnsi="Arial" w:cs="Arial"/>
          <w:b/>
          <w:sz w:val="22"/>
        </w:rPr>
        <w:t>Legislative basis and OGTR assessment</w:t>
      </w:r>
    </w:p>
    <w:p w14:paraId="6E585A71" w14:textId="77777777" w:rsidR="00C57856" w:rsidRPr="002A5DBD" w:rsidRDefault="00A727B9" w:rsidP="00020FDE">
      <w:pPr>
        <w:spacing w:before="120"/>
        <w:rPr>
          <w:rFonts w:ascii="Arial" w:hAnsi="Arial" w:cs="Arial"/>
          <w:sz w:val="22"/>
        </w:rPr>
      </w:pPr>
      <w:r w:rsidRPr="002A5DBD">
        <w:rPr>
          <w:rFonts w:ascii="Arial" w:hAnsi="Arial" w:cs="Arial"/>
          <w:sz w:val="22"/>
        </w:rPr>
        <w:t xml:space="preserve">Section 71 of the </w:t>
      </w:r>
      <w:r w:rsidR="00095755" w:rsidRPr="002A5DBD">
        <w:rPr>
          <w:rFonts w:ascii="Arial" w:hAnsi="Arial" w:cs="Arial"/>
          <w:sz w:val="22"/>
        </w:rPr>
        <w:t>Act</w:t>
      </w:r>
      <w:r w:rsidR="0044381A">
        <w:rPr>
          <w:rFonts w:ascii="Arial" w:hAnsi="Arial" w:cs="Arial"/>
          <w:sz w:val="22"/>
        </w:rPr>
        <w:t xml:space="preserve"> </w:t>
      </w:r>
      <w:r w:rsidR="00095755" w:rsidRPr="002A5DBD">
        <w:rPr>
          <w:rFonts w:ascii="Arial" w:hAnsi="Arial" w:cs="Arial"/>
          <w:sz w:val="22"/>
        </w:rPr>
        <w:t>provides for</w:t>
      </w:r>
      <w:r w:rsidR="00C43398" w:rsidRPr="002A5DBD">
        <w:rPr>
          <w:rFonts w:ascii="Arial" w:hAnsi="Arial" w:cs="Arial"/>
          <w:sz w:val="22"/>
        </w:rPr>
        <w:t xml:space="preserve"> the Regulator</w:t>
      </w:r>
      <w:r w:rsidR="00095755" w:rsidRPr="002A5DBD">
        <w:rPr>
          <w:rFonts w:ascii="Arial" w:hAnsi="Arial" w:cs="Arial"/>
          <w:sz w:val="22"/>
        </w:rPr>
        <w:t xml:space="preserve"> to vary </w:t>
      </w:r>
      <w:r w:rsidR="002D7BBA" w:rsidRPr="002A5DBD">
        <w:rPr>
          <w:rFonts w:ascii="Arial" w:hAnsi="Arial" w:cs="Arial"/>
          <w:sz w:val="22"/>
        </w:rPr>
        <w:t xml:space="preserve">the conditions of </w:t>
      </w:r>
      <w:r w:rsidR="00095755" w:rsidRPr="002A5DBD">
        <w:rPr>
          <w:rFonts w:ascii="Arial" w:hAnsi="Arial" w:cs="Arial"/>
          <w:sz w:val="22"/>
        </w:rPr>
        <w:t>licences</w:t>
      </w:r>
      <w:r w:rsidR="00757E52" w:rsidRPr="002A5DBD">
        <w:rPr>
          <w:rFonts w:ascii="Arial" w:hAnsi="Arial" w:cs="Arial"/>
          <w:sz w:val="22"/>
        </w:rPr>
        <w:t xml:space="preserve"> authorising dealings with GMOs</w:t>
      </w:r>
      <w:r w:rsidRPr="002A5DBD">
        <w:rPr>
          <w:rFonts w:ascii="Arial" w:hAnsi="Arial" w:cs="Arial"/>
          <w:sz w:val="22"/>
        </w:rPr>
        <w:t>,</w:t>
      </w:r>
      <w:r w:rsidR="00095755" w:rsidRPr="002A5DBD">
        <w:rPr>
          <w:rFonts w:ascii="Arial" w:hAnsi="Arial" w:cs="Arial"/>
          <w:sz w:val="22"/>
        </w:rPr>
        <w:t xml:space="preserve"> either on the Regulator’s initiative or on appli</w:t>
      </w:r>
      <w:r w:rsidR="00C57856" w:rsidRPr="002A5DBD">
        <w:rPr>
          <w:rFonts w:ascii="Arial" w:hAnsi="Arial" w:cs="Arial"/>
          <w:sz w:val="22"/>
        </w:rPr>
        <w:t>cation from the licence holder.</w:t>
      </w:r>
    </w:p>
    <w:p w14:paraId="4E928707" w14:textId="77777777" w:rsidR="00095755" w:rsidRPr="002A5DBD" w:rsidRDefault="00095755" w:rsidP="00E238A8">
      <w:pPr>
        <w:spacing w:before="180"/>
        <w:rPr>
          <w:rFonts w:ascii="Arial" w:hAnsi="Arial" w:cs="Arial"/>
          <w:sz w:val="22"/>
        </w:rPr>
      </w:pPr>
      <w:r w:rsidRPr="002A5DBD">
        <w:rPr>
          <w:rFonts w:ascii="Arial" w:hAnsi="Arial" w:cs="Arial"/>
          <w:sz w:val="22"/>
        </w:rPr>
        <w:t xml:space="preserve">The Act </w:t>
      </w:r>
      <w:r w:rsidR="00DC56F6" w:rsidRPr="002A5DBD">
        <w:rPr>
          <w:rFonts w:ascii="Arial" w:hAnsi="Arial" w:cs="Arial"/>
          <w:sz w:val="22"/>
        </w:rPr>
        <w:t xml:space="preserve">specifies </w:t>
      </w:r>
      <w:r w:rsidRPr="002A5DBD">
        <w:rPr>
          <w:rFonts w:ascii="Arial" w:hAnsi="Arial" w:cs="Arial"/>
          <w:sz w:val="22"/>
        </w:rPr>
        <w:t>that the Regulator must not</w:t>
      </w:r>
      <w:r w:rsidR="00FA68E1" w:rsidRPr="002A5DBD">
        <w:rPr>
          <w:rFonts w:ascii="Arial" w:hAnsi="Arial" w:cs="Arial"/>
          <w:sz w:val="22"/>
        </w:rPr>
        <w:t xml:space="preserve"> vary a licence</w:t>
      </w:r>
      <w:r w:rsidR="00757E52" w:rsidRPr="002A5DBD">
        <w:rPr>
          <w:rFonts w:ascii="Arial" w:hAnsi="Arial" w:cs="Arial"/>
          <w:sz w:val="22"/>
        </w:rPr>
        <w:t>:</w:t>
      </w:r>
    </w:p>
    <w:p w14:paraId="6652F99F" w14:textId="77777777" w:rsidR="005235F4" w:rsidRPr="002A5DBD" w:rsidRDefault="005235F4" w:rsidP="005235F4">
      <w:pPr>
        <w:numPr>
          <w:ilvl w:val="0"/>
          <w:numId w:val="41"/>
        </w:numPr>
        <w:autoSpaceDE/>
        <w:autoSpaceDN/>
        <w:spacing w:before="60"/>
        <w:rPr>
          <w:rFonts w:ascii="Arial" w:hAnsi="Arial" w:cs="Arial"/>
          <w:sz w:val="22"/>
        </w:rPr>
      </w:pPr>
      <w:r w:rsidRPr="002A5DBD">
        <w:rPr>
          <w:rFonts w:ascii="Arial" w:hAnsi="Arial" w:cs="Arial"/>
          <w:sz w:val="22"/>
        </w:rPr>
        <w:t xml:space="preserve">unless satisfied that any risks posed by the GMO dealings </w:t>
      </w:r>
      <w:proofErr w:type="gramStart"/>
      <w:r w:rsidRPr="002A5DBD">
        <w:rPr>
          <w:rFonts w:ascii="Arial" w:hAnsi="Arial" w:cs="Arial"/>
          <w:sz w:val="22"/>
        </w:rPr>
        <w:t>are able to</w:t>
      </w:r>
      <w:proofErr w:type="gramEnd"/>
      <w:r w:rsidRPr="002A5DBD">
        <w:rPr>
          <w:rFonts w:ascii="Arial" w:hAnsi="Arial" w:cs="Arial"/>
          <w:sz w:val="22"/>
        </w:rPr>
        <w:t xml:space="preserve"> be managed to protect people and the environment</w:t>
      </w:r>
    </w:p>
    <w:p w14:paraId="183F400D" w14:textId="77777777" w:rsidR="005235F4" w:rsidRPr="002A5DBD" w:rsidRDefault="00DC56F6" w:rsidP="005235F4">
      <w:pPr>
        <w:numPr>
          <w:ilvl w:val="0"/>
          <w:numId w:val="41"/>
        </w:numPr>
        <w:autoSpaceDE/>
        <w:autoSpaceDN/>
        <w:spacing w:before="60"/>
        <w:rPr>
          <w:rFonts w:ascii="Arial" w:hAnsi="Arial" w:cs="Arial"/>
          <w:sz w:val="22"/>
        </w:rPr>
      </w:pPr>
      <w:r w:rsidRPr="002A5DBD">
        <w:rPr>
          <w:rFonts w:ascii="Arial" w:hAnsi="Arial" w:cs="Arial"/>
          <w:sz w:val="22"/>
        </w:rPr>
        <w:t>unless</w:t>
      </w:r>
      <w:r w:rsidR="005235F4" w:rsidRPr="002A5DBD">
        <w:rPr>
          <w:rFonts w:ascii="Arial" w:hAnsi="Arial" w:cs="Arial"/>
          <w:sz w:val="22"/>
        </w:rPr>
        <w:t xml:space="preserve"> the </w:t>
      </w:r>
      <w:r w:rsidR="00E6608E">
        <w:rPr>
          <w:rFonts w:ascii="Arial" w:hAnsi="Arial" w:cs="Arial"/>
          <w:sz w:val="22"/>
        </w:rPr>
        <w:t xml:space="preserve">risks posed by the varied licence are covered by the </w:t>
      </w:r>
      <w:r w:rsidRPr="002A5DBD">
        <w:rPr>
          <w:rFonts w:ascii="Arial" w:hAnsi="Arial" w:cs="Arial"/>
          <w:sz w:val="22"/>
        </w:rPr>
        <w:t>risk</w:t>
      </w:r>
      <w:r w:rsidR="0044381A">
        <w:rPr>
          <w:rFonts w:ascii="Arial" w:hAnsi="Arial" w:cs="Arial"/>
          <w:sz w:val="22"/>
        </w:rPr>
        <w:t xml:space="preserve"> </w:t>
      </w:r>
      <w:r w:rsidRPr="002A5DBD">
        <w:rPr>
          <w:rFonts w:ascii="Arial" w:hAnsi="Arial" w:cs="Arial"/>
          <w:sz w:val="22"/>
        </w:rPr>
        <w:t xml:space="preserve">assessment and risk management plan (RARMP) </w:t>
      </w:r>
      <w:r w:rsidR="005235F4" w:rsidRPr="002A5DBD">
        <w:rPr>
          <w:rFonts w:ascii="Arial" w:hAnsi="Arial" w:cs="Arial"/>
          <w:sz w:val="22"/>
        </w:rPr>
        <w:t xml:space="preserve">prepared for the original licence application </w:t>
      </w:r>
      <w:r w:rsidR="00E6608E">
        <w:rPr>
          <w:rFonts w:ascii="Arial" w:hAnsi="Arial" w:cs="Arial"/>
          <w:sz w:val="22"/>
        </w:rPr>
        <w:t>or by the RARMP of another application for a licence that has been issued</w:t>
      </w:r>
    </w:p>
    <w:p w14:paraId="4D88ECCB" w14:textId="77777777" w:rsidR="00095755" w:rsidRPr="002A5DBD" w:rsidRDefault="00DC56F6" w:rsidP="005F2376">
      <w:pPr>
        <w:numPr>
          <w:ilvl w:val="0"/>
          <w:numId w:val="41"/>
        </w:numPr>
        <w:autoSpaceDE/>
        <w:autoSpaceDN/>
        <w:spacing w:before="60"/>
        <w:rPr>
          <w:rFonts w:ascii="Arial" w:hAnsi="Arial" w:cs="Arial"/>
          <w:sz w:val="22"/>
        </w:rPr>
      </w:pPr>
      <w:r w:rsidRPr="002A5DBD">
        <w:rPr>
          <w:rFonts w:ascii="Arial" w:hAnsi="Arial" w:cs="Arial"/>
          <w:sz w:val="22"/>
        </w:rPr>
        <w:t xml:space="preserve">if the original licence is for dealings </w:t>
      </w:r>
      <w:r w:rsidRPr="002A5DBD">
        <w:rPr>
          <w:rFonts w:ascii="Arial" w:hAnsi="Arial" w:cs="Arial"/>
          <w:sz w:val="22"/>
          <w:u w:val="single"/>
        </w:rPr>
        <w:t>not</w:t>
      </w:r>
      <w:r w:rsidRPr="002A5DBD">
        <w:rPr>
          <w:rFonts w:ascii="Arial" w:hAnsi="Arial" w:cs="Arial"/>
          <w:sz w:val="22"/>
        </w:rPr>
        <w:t xml:space="preserve"> involving intentional release (DNIR, </w:t>
      </w:r>
      <w:proofErr w:type="gramStart"/>
      <w:r w:rsidRPr="002A5DBD">
        <w:rPr>
          <w:rFonts w:ascii="Arial" w:hAnsi="Arial" w:cs="Arial"/>
          <w:sz w:val="22"/>
        </w:rPr>
        <w:t>e</w:t>
      </w:r>
      <w:r w:rsidR="006C26BE">
        <w:rPr>
          <w:rFonts w:ascii="Arial" w:hAnsi="Arial" w:cs="Arial"/>
          <w:sz w:val="22"/>
        </w:rPr>
        <w:t>.</w:t>
      </w:r>
      <w:r w:rsidRPr="002A5DBD">
        <w:rPr>
          <w:rFonts w:ascii="Arial" w:hAnsi="Arial" w:cs="Arial"/>
          <w:sz w:val="22"/>
        </w:rPr>
        <w:t>g</w:t>
      </w:r>
      <w:r w:rsidR="006C26BE">
        <w:rPr>
          <w:rFonts w:ascii="Arial" w:hAnsi="Arial" w:cs="Arial"/>
          <w:sz w:val="22"/>
        </w:rPr>
        <w:t>.</w:t>
      </w:r>
      <w:proofErr w:type="gramEnd"/>
      <w:r w:rsidRPr="002A5DBD">
        <w:rPr>
          <w:rFonts w:ascii="Arial" w:hAnsi="Arial" w:cs="Arial"/>
          <w:sz w:val="22"/>
        </w:rPr>
        <w:t xml:space="preserve"> work in a laboratory or other contained facility) – </w:t>
      </w:r>
      <w:r w:rsidR="005235F4" w:rsidRPr="002A5DBD">
        <w:rPr>
          <w:rFonts w:ascii="Arial" w:hAnsi="Arial" w:cs="Arial"/>
          <w:sz w:val="22"/>
        </w:rPr>
        <w:t>to</w:t>
      </w:r>
      <w:r w:rsidRPr="002A5DBD">
        <w:rPr>
          <w:rFonts w:ascii="Arial" w:hAnsi="Arial" w:cs="Arial"/>
          <w:sz w:val="22"/>
        </w:rPr>
        <w:t xml:space="preserve"> authorise</w:t>
      </w:r>
      <w:r w:rsidR="005235F4" w:rsidRPr="002A5DBD">
        <w:rPr>
          <w:rFonts w:ascii="Arial" w:hAnsi="Arial" w:cs="Arial"/>
          <w:sz w:val="22"/>
        </w:rPr>
        <w:t xml:space="preserve"> environmental release of a GMO</w:t>
      </w:r>
    </w:p>
    <w:p w14:paraId="18F0F8D2" w14:textId="77777777" w:rsidR="00095755" w:rsidRPr="009D5446" w:rsidRDefault="00DC56F6" w:rsidP="005F2376">
      <w:pPr>
        <w:numPr>
          <w:ilvl w:val="0"/>
          <w:numId w:val="41"/>
        </w:numPr>
        <w:autoSpaceDE/>
        <w:autoSpaceDN/>
        <w:spacing w:before="60"/>
        <w:rPr>
          <w:rFonts w:ascii="Arial" w:hAnsi="Arial" w:cs="Arial"/>
          <w:sz w:val="22"/>
        </w:rPr>
      </w:pPr>
      <w:r w:rsidRPr="009D5446">
        <w:rPr>
          <w:rFonts w:ascii="Arial" w:hAnsi="Arial" w:cs="Arial"/>
          <w:sz w:val="22"/>
        </w:rPr>
        <w:t xml:space="preserve">if the original licence is for dealings involving intentional release (DIR) under ‘limited and controlled’ conditions – </w:t>
      </w:r>
      <w:r w:rsidR="00095755" w:rsidRPr="009D5446">
        <w:rPr>
          <w:rFonts w:ascii="Arial" w:hAnsi="Arial" w:cs="Arial"/>
          <w:sz w:val="22"/>
        </w:rPr>
        <w:t xml:space="preserve">unless the </w:t>
      </w:r>
      <w:r w:rsidR="00634495">
        <w:rPr>
          <w:rFonts w:ascii="Arial" w:hAnsi="Arial" w:cs="Arial"/>
          <w:sz w:val="22"/>
        </w:rPr>
        <w:t>varied licence</w:t>
      </w:r>
      <w:r w:rsidR="00634495" w:rsidRPr="009D5446">
        <w:rPr>
          <w:rFonts w:ascii="Arial" w:hAnsi="Arial" w:cs="Arial"/>
          <w:sz w:val="22"/>
        </w:rPr>
        <w:t xml:space="preserve"> </w:t>
      </w:r>
      <w:r w:rsidR="00095755" w:rsidRPr="009D5446">
        <w:rPr>
          <w:rFonts w:ascii="Arial" w:hAnsi="Arial" w:cs="Arial"/>
          <w:sz w:val="22"/>
        </w:rPr>
        <w:t xml:space="preserve">would also </w:t>
      </w:r>
      <w:r w:rsidR="001F6570" w:rsidRPr="009D5446">
        <w:rPr>
          <w:rFonts w:ascii="Arial" w:hAnsi="Arial" w:cs="Arial"/>
          <w:sz w:val="22"/>
        </w:rPr>
        <w:t>qualify as</w:t>
      </w:r>
      <w:r w:rsidR="00095755" w:rsidRPr="009D5446">
        <w:rPr>
          <w:rFonts w:ascii="Arial" w:hAnsi="Arial" w:cs="Arial"/>
          <w:sz w:val="22"/>
        </w:rPr>
        <w:t xml:space="preserve"> a </w:t>
      </w:r>
      <w:r w:rsidR="00C02635" w:rsidRPr="009D5446">
        <w:rPr>
          <w:rFonts w:ascii="Arial" w:hAnsi="Arial" w:cs="Arial"/>
          <w:sz w:val="22"/>
        </w:rPr>
        <w:t>‘</w:t>
      </w:r>
      <w:r w:rsidR="00095755" w:rsidRPr="009D5446">
        <w:rPr>
          <w:rFonts w:ascii="Arial" w:hAnsi="Arial" w:cs="Arial"/>
          <w:sz w:val="22"/>
        </w:rPr>
        <w:t>limited and controlled</w:t>
      </w:r>
      <w:r w:rsidR="00C02635" w:rsidRPr="009D5446">
        <w:rPr>
          <w:rFonts w:ascii="Arial" w:hAnsi="Arial" w:cs="Arial"/>
          <w:sz w:val="22"/>
        </w:rPr>
        <w:t>’</w:t>
      </w:r>
      <w:r w:rsidR="001F6570" w:rsidRPr="009D5446">
        <w:rPr>
          <w:rFonts w:ascii="Arial" w:hAnsi="Arial" w:cs="Arial"/>
          <w:sz w:val="22"/>
        </w:rPr>
        <w:t xml:space="preserve"> release</w:t>
      </w:r>
      <w:r w:rsidRPr="009D5446">
        <w:rPr>
          <w:rFonts w:ascii="Arial" w:hAnsi="Arial" w:cs="Arial"/>
          <w:sz w:val="22"/>
        </w:rPr>
        <w:t>.</w:t>
      </w:r>
    </w:p>
    <w:p w14:paraId="6F86584B" w14:textId="77777777" w:rsidR="0044381A" w:rsidRDefault="00270FF5" w:rsidP="002B3C50">
      <w:pPr>
        <w:autoSpaceDE/>
        <w:autoSpaceDN/>
        <w:spacing w:before="180" w:after="60"/>
        <w:rPr>
          <w:rFonts w:ascii="Arial" w:hAnsi="Arial" w:cs="Arial"/>
          <w:sz w:val="22"/>
        </w:rPr>
      </w:pPr>
      <w:r w:rsidRPr="002A5DBD">
        <w:rPr>
          <w:rFonts w:ascii="Arial" w:hAnsi="Arial" w:cs="Arial"/>
          <w:sz w:val="22"/>
        </w:rPr>
        <w:t xml:space="preserve">In assessing variation applications, the Regulator will apply the risk assessment process used in current RARMPs, based on the OGTR’s </w:t>
      </w:r>
      <w:r w:rsidRPr="002A5DBD">
        <w:rPr>
          <w:rFonts w:ascii="Arial" w:hAnsi="Arial" w:cs="Arial"/>
          <w:i/>
          <w:iCs/>
          <w:sz w:val="22"/>
        </w:rPr>
        <w:t>Risk Analysis Framework</w:t>
      </w:r>
      <w:r w:rsidRPr="002A5DBD">
        <w:rPr>
          <w:rFonts w:ascii="Arial" w:hAnsi="Arial" w:cs="Arial"/>
          <w:sz w:val="22"/>
        </w:rPr>
        <w:t>. If new risks associated with the variation are identified that were not identified in</w:t>
      </w:r>
      <w:r w:rsidR="00D86D96">
        <w:rPr>
          <w:rFonts w:ascii="Arial" w:hAnsi="Arial" w:cs="Arial"/>
          <w:sz w:val="22"/>
        </w:rPr>
        <w:t xml:space="preserve"> </w:t>
      </w:r>
      <w:r w:rsidR="00C666E9">
        <w:rPr>
          <w:rFonts w:ascii="Arial" w:hAnsi="Arial" w:cs="Arial"/>
          <w:sz w:val="22"/>
        </w:rPr>
        <w:t>a relevant RARMP</w:t>
      </w:r>
      <w:r w:rsidR="002317EB">
        <w:rPr>
          <w:rFonts w:ascii="Arial" w:hAnsi="Arial" w:cs="Arial"/>
          <w:sz w:val="22"/>
        </w:rPr>
        <w:t xml:space="preserve"> </w:t>
      </w:r>
      <w:r w:rsidR="008007AD">
        <w:rPr>
          <w:rFonts w:ascii="Arial" w:hAnsi="Arial" w:cs="Arial"/>
          <w:sz w:val="22"/>
        </w:rPr>
        <w:t>(</w:t>
      </w:r>
      <w:proofErr w:type="gramStart"/>
      <w:r w:rsidR="008007AD">
        <w:rPr>
          <w:rFonts w:ascii="Arial" w:hAnsi="Arial" w:cs="Arial"/>
          <w:sz w:val="22"/>
        </w:rPr>
        <w:t>i.e.</w:t>
      </w:r>
      <w:proofErr w:type="gramEnd"/>
      <w:r w:rsidR="008007AD">
        <w:rPr>
          <w:rFonts w:ascii="Arial" w:hAnsi="Arial" w:cs="Arial"/>
          <w:sz w:val="22"/>
        </w:rPr>
        <w:t xml:space="preserve"> the original RARMP or a RARMP for related GMOs/dealings)</w:t>
      </w:r>
      <w:r w:rsidR="003649D3">
        <w:rPr>
          <w:rFonts w:ascii="Arial" w:hAnsi="Arial" w:cs="Arial"/>
          <w:sz w:val="22"/>
        </w:rPr>
        <w:t>,</w:t>
      </w:r>
      <w:r w:rsidR="000B020E">
        <w:rPr>
          <w:rFonts w:ascii="Arial" w:hAnsi="Arial" w:cs="Arial"/>
          <w:sz w:val="22"/>
        </w:rPr>
        <w:t xml:space="preserve"> </w:t>
      </w:r>
      <w:r w:rsidR="002B3C50" w:rsidRPr="002A5DBD">
        <w:rPr>
          <w:rFonts w:ascii="Arial" w:hAnsi="Arial" w:cs="Arial"/>
          <w:sz w:val="22"/>
        </w:rPr>
        <w:t>or if the level of a risk is increased, it is likely that a new licence application will be required.</w:t>
      </w:r>
      <w:r w:rsidR="00041F59">
        <w:rPr>
          <w:rFonts w:ascii="Arial" w:hAnsi="Arial" w:cs="Arial"/>
          <w:sz w:val="22"/>
        </w:rPr>
        <w:t xml:space="preserve"> </w:t>
      </w:r>
    </w:p>
    <w:p w14:paraId="0FF62471" w14:textId="77777777" w:rsidR="00270FF5" w:rsidRPr="002A5DBD" w:rsidRDefault="00270FF5" w:rsidP="00350CC0">
      <w:pPr>
        <w:spacing w:before="120"/>
        <w:outlineLvl w:val="1"/>
        <w:rPr>
          <w:rFonts w:ascii="Arial" w:hAnsi="Arial" w:cs="Arial"/>
          <w:b/>
          <w:sz w:val="22"/>
        </w:rPr>
      </w:pPr>
      <w:r w:rsidRPr="002A5DBD">
        <w:rPr>
          <w:rFonts w:ascii="Arial" w:hAnsi="Arial" w:cs="Arial"/>
          <w:b/>
          <w:sz w:val="22"/>
        </w:rPr>
        <w:t>Variation application</w:t>
      </w:r>
    </w:p>
    <w:p w14:paraId="70E0CBCE" w14:textId="77777777" w:rsidR="002317EB" w:rsidRDefault="002317EB" w:rsidP="00020FDE">
      <w:pPr>
        <w:spacing w:before="120"/>
        <w:rPr>
          <w:rFonts w:ascii="Arial" w:hAnsi="Arial" w:cs="Arial"/>
          <w:sz w:val="22"/>
        </w:rPr>
      </w:pPr>
      <w:r>
        <w:rPr>
          <w:rFonts w:ascii="Arial" w:hAnsi="Arial" w:cs="Arial"/>
          <w:sz w:val="22"/>
        </w:rPr>
        <w:t xml:space="preserve">Applications for a licence variation should be made on the </w:t>
      </w:r>
      <w:bookmarkStart w:id="0" w:name="_Hlk158625039"/>
      <w:r w:rsidR="005374EB">
        <w:rPr>
          <w:rFonts w:ascii="Arial" w:hAnsi="Arial" w:cs="Arial"/>
          <w:sz w:val="22"/>
        </w:rPr>
        <w:fldChar w:fldCharType="begin"/>
      </w:r>
      <w:r w:rsidR="005374EB">
        <w:rPr>
          <w:rFonts w:ascii="Arial" w:hAnsi="Arial" w:cs="Arial"/>
          <w:sz w:val="22"/>
        </w:rPr>
        <w:instrText>HYPERLINK "https://www.ogtr.gov.au/resources/publications/application-vary-or-surrender-dir-licence"</w:instrText>
      </w:r>
      <w:r w:rsidR="005374EB">
        <w:rPr>
          <w:rFonts w:ascii="Arial" w:hAnsi="Arial" w:cs="Arial"/>
          <w:sz w:val="22"/>
        </w:rPr>
      </w:r>
      <w:r w:rsidR="005374EB">
        <w:rPr>
          <w:rFonts w:ascii="Arial" w:hAnsi="Arial" w:cs="Arial"/>
          <w:sz w:val="22"/>
        </w:rPr>
        <w:fldChar w:fldCharType="separate"/>
      </w:r>
      <w:r w:rsidRPr="005374EB">
        <w:rPr>
          <w:rStyle w:val="Hyperlink"/>
          <w:rFonts w:ascii="Arial" w:hAnsi="Arial" w:cs="Arial"/>
          <w:sz w:val="22"/>
        </w:rPr>
        <w:t>DIR</w:t>
      </w:r>
      <w:r w:rsidR="005374EB" w:rsidRPr="005374EB">
        <w:rPr>
          <w:rStyle w:val="Hyperlink"/>
          <w:rFonts w:ascii="Arial" w:hAnsi="Arial" w:cs="Arial"/>
          <w:sz w:val="22"/>
        </w:rPr>
        <w:t xml:space="preserve"> variation forms</w:t>
      </w:r>
      <w:bookmarkEnd w:id="0"/>
      <w:r w:rsidR="005374EB">
        <w:rPr>
          <w:rFonts w:ascii="Arial" w:hAnsi="Arial" w:cs="Arial"/>
          <w:sz w:val="22"/>
        </w:rPr>
        <w:fldChar w:fldCharType="end"/>
      </w:r>
      <w:r w:rsidR="005374EB">
        <w:rPr>
          <w:rFonts w:ascii="Arial" w:hAnsi="Arial" w:cs="Arial"/>
          <w:sz w:val="22"/>
        </w:rPr>
        <w:t xml:space="preserve"> or </w:t>
      </w:r>
      <w:hyperlink r:id="rId11" w:history="1">
        <w:r w:rsidR="005374EB" w:rsidRPr="005374EB">
          <w:rPr>
            <w:rStyle w:val="Hyperlink"/>
            <w:rFonts w:ascii="Arial" w:hAnsi="Arial" w:cs="Arial"/>
            <w:sz w:val="22"/>
          </w:rPr>
          <w:t>DNIR variation forms</w:t>
        </w:r>
      </w:hyperlink>
      <w:r>
        <w:rPr>
          <w:rFonts w:ascii="Arial" w:hAnsi="Arial" w:cs="Arial"/>
          <w:sz w:val="22"/>
        </w:rPr>
        <w:t xml:space="preserve"> available on the OGTR website. The DNIR variation form has an associated </w:t>
      </w:r>
      <w:hyperlink r:id="rId12" w:history="1">
        <w:r w:rsidRPr="00E16B4D">
          <w:rPr>
            <w:rStyle w:val="Hyperlink"/>
            <w:rFonts w:ascii="Arial" w:hAnsi="Arial" w:cs="Arial"/>
            <w:sz w:val="22"/>
          </w:rPr>
          <w:t xml:space="preserve">guidance </w:t>
        </w:r>
        <w:r w:rsidRPr="00B607FF">
          <w:rPr>
            <w:rStyle w:val="Hyperlink"/>
            <w:rFonts w:ascii="Arial" w:hAnsi="Arial" w:cs="Arial"/>
            <w:color w:val="0000FF"/>
            <w:sz w:val="22"/>
          </w:rPr>
          <w:t>document</w:t>
        </w:r>
      </w:hyperlink>
      <w:r>
        <w:rPr>
          <w:rFonts w:ascii="Arial" w:hAnsi="Arial" w:cs="Arial"/>
          <w:sz w:val="22"/>
        </w:rPr>
        <w:t>.</w:t>
      </w:r>
    </w:p>
    <w:p w14:paraId="7AF785FC" w14:textId="47E5114A" w:rsidR="00CF37BE" w:rsidRPr="002A5DBD" w:rsidRDefault="00CF37BE" w:rsidP="005F58D4">
      <w:pPr>
        <w:autoSpaceDE/>
        <w:autoSpaceDN/>
        <w:spacing w:before="180" w:after="60"/>
        <w:rPr>
          <w:rFonts w:ascii="Arial" w:hAnsi="Arial" w:cs="Arial"/>
          <w:sz w:val="22"/>
        </w:rPr>
      </w:pPr>
      <w:r w:rsidRPr="002A5DBD">
        <w:rPr>
          <w:rFonts w:ascii="Arial" w:hAnsi="Arial" w:cs="Arial"/>
          <w:sz w:val="22"/>
        </w:rPr>
        <w:t xml:space="preserve">The </w:t>
      </w:r>
      <w:r w:rsidR="00C07621">
        <w:rPr>
          <w:rFonts w:ascii="Arial" w:hAnsi="Arial" w:cs="Arial"/>
          <w:sz w:val="22"/>
        </w:rPr>
        <w:t xml:space="preserve">statutory </w:t>
      </w:r>
      <w:r w:rsidRPr="002A5DBD">
        <w:rPr>
          <w:rFonts w:ascii="Arial" w:hAnsi="Arial" w:cs="Arial"/>
          <w:sz w:val="22"/>
        </w:rPr>
        <w:t>timeframe</w:t>
      </w:r>
      <w:r w:rsidR="00F914F9" w:rsidRPr="002A5DBD">
        <w:rPr>
          <w:rFonts w:ascii="Arial" w:hAnsi="Arial" w:cs="Arial"/>
          <w:sz w:val="22"/>
        </w:rPr>
        <w:t xml:space="preserve"> for </w:t>
      </w:r>
      <w:r w:rsidR="00C07621">
        <w:rPr>
          <w:rFonts w:ascii="Arial" w:hAnsi="Arial" w:cs="Arial"/>
          <w:sz w:val="22"/>
        </w:rPr>
        <w:t xml:space="preserve">a </w:t>
      </w:r>
      <w:r w:rsidR="00F914F9" w:rsidRPr="002A5DBD">
        <w:rPr>
          <w:rFonts w:ascii="Arial" w:hAnsi="Arial" w:cs="Arial"/>
          <w:sz w:val="22"/>
        </w:rPr>
        <w:t xml:space="preserve">decision on </w:t>
      </w:r>
      <w:r w:rsidR="00E238A8" w:rsidRPr="002A5DBD">
        <w:rPr>
          <w:rFonts w:ascii="Arial" w:hAnsi="Arial" w:cs="Arial"/>
          <w:sz w:val="22"/>
        </w:rPr>
        <w:t xml:space="preserve">a </w:t>
      </w:r>
      <w:r w:rsidR="00F914F9" w:rsidRPr="002A5DBD">
        <w:rPr>
          <w:rFonts w:ascii="Arial" w:hAnsi="Arial" w:cs="Arial"/>
          <w:sz w:val="22"/>
        </w:rPr>
        <w:t xml:space="preserve">variation application is 90 working days. </w:t>
      </w:r>
      <w:r w:rsidR="00663165" w:rsidRPr="002A5DBD">
        <w:rPr>
          <w:rFonts w:ascii="Arial" w:hAnsi="Arial" w:cs="Arial"/>
          <w:sz w:val="22"/>
        </w:rPr>
        <w:t>Any period when</w:t>
      </w:r>
      <w:r w:rsidRPr="002A5DBD">
        <w:rPr>
          <w:rFonts w:ascii="Arial" w:hAnsi="Arial" w:cs="Arial"/>
          <w:sz w:val="22"/>
        </w:rPr>
        <w:t xml:space="preserve"> the Regulator is waiting for additional information from the applicant</w:t>
      </w:r>
      <w:r w:rsidR="00F86394" w:rsidRPr="002A5DBD">
        <w:rPr>
          <w:rFonts w:ascii="Arial" w:hAnsi="Arial" w:cs="Arial"/>
          <w:sz w:val="22"/>
        </w:rPr>
        <w:t>,</w:t>
      </w:r>
      <w:r w:rsidR="00663165" w:rsidRPr="002A5DBD">
        <w:rPr>
          <w:rFonts w:ascii="Arial" w:hAnsi="Arial" w:cs="Arial"/>
          <w:sz w:val="22"/>
        </w:rPr>
        <w:t xml:space="preserve"> and cannot proceed with the </w:t>
      </w:r>
      <w:proofErr w:type="gramStart"/>
      <w:r w:rsidR="00663165" w:rsidRPr="002A5DBD">
        <w:rPr>
          <w:rFonts w:ascii="Arial" w:hAnsi="Arial" w:cs="Arial"/>
          <w:sz w:val="22"/>
        </w:rPr>
        <w:t>decision making</w:t>
      </w:r>
      <w:proofErr w:type="gramEnd"/>
      <w:r w:rsidR="00663165" w:rsidRPr="002A5DBD">
        <w:rPr>
          <w:rFonts w:ascii="Arial" w:hAnsi="Arial" w:cs="Arial"/>
          <w:sz w:val="22"/>
        </w:rPr>
        <w:t xml:space="preserve"> process,</w:t>
      </w:r>
      <w:r w:rsidRPr="002A5DBD">
        <w:rPr>
          <w:rFonts w:ascii="Arial" w:hAnsi="Arial" w:cs="Arial"/>
          <w:sz w:val="22"/>
        </w:rPr>
        <w:t xml:space="preserve"> does not count</w:t>
      </w:r>
      <w:r w:rsidR="00663165" w:rsidRPr="002A5DBD">
        <w:rPr>
          <w:rFonts w:ascii="Arial" w:hAnsi="Arial" w:cs="Arial"/>
          <w:sz w:val="22"/>
        </w:rPr>
        <w:t xml:space="preserve"> as part of this timeframe</w:t>
      </w:r>
      <w:r w:rsidRPr="002A5DBD">
        <w:rPr>
          <w:rFonts w:ascii="Arial" w:hAnsi="Arial" w:cs="Arial"/>
          <w:sz w:val="22"/>
        </w:rPr>
        <w:t xml:space="preserve"> (i</w:t>
      </w:r>
      <w:r w:rsidR="00CB141A">
        <w:rPr>
          <w:rFonts w:ascii="Arial" w:hAnsi="Arial" w:cs="Arial"/>
          <w:sz w:val="22"/>
        </w:rPr>
        <w:t>.</w:t>
      </w:r>
      <w:r w:rsidRPr="002A5DBD">
        <w:rPr>
          <w:rFonts w:ascii="Arial" w:hAnsi="Arial" w:cs="Arial"/>
          <w:sz w:val="22"/>
        </w:rPr>
        <w:t>e</w:t>
      </w:r>
      <w:r w:rsidR="00CB141A">
        <w:rPr>
          <w:rFonts w:ascii="Arial" w:hAnsi="Arial" w:cs="Arial"/>
          <w:sz w:val="22"/>
        </w:rPr>
        <w:t>.</w:t>
      </w:r>
      <w:r w:rsidRPr="002A5DBD">
        <w:rPr>
          <w:rFonts w:ascii="Arial" w:hAnsi="Arial" w:cs="Arial"/>
          <w:sz w:val="22"/>
        </w:rPr>
        <w:t xml:space="preserve"> ‘the clock stops’).</w:t>
      </w:r>
    </w:p>
    <w:p w14:paraId="04DC00F9" w14:textId="77777777" w:rsidR="00A727B9" w:rsidRPr="002A5DBD" w:rsidRDefault="00A401EC" w:rsidP="005F58D4">
      <w:pPr>
        <w:autoSpaceDE/>
        <w:autoSpaceDN/>
        <w:spacing w:before="180" w:after="60"/>
        <w:rPr>
          <w:rFonts w:ascii="Arial" w:hAnsi="Arial" w:cs="Arial"/>
          <w:sz w:val="22"/>
        </w:rPr>
      </w:pPr>
      <w:r w:rsidRPr="002A5DBD">
        <w:rPr>
          <w:rFonts w:ascii="Arial" w:hAnsi="Arial" w:cs="Arial"/>
          <w:sz w:val="22"/>
        </w:rPr>
        <w:t>The Regulator will notify the licence holder of the decision in writing.</w:t>
      </w:r>
    </w:p>
    <w:p w14:paraId="071DFDA5" w14:textId="77777777" w:rsidR="00BE1FA7" w:rsidRPr="006E5A62" w:rsidRDefault="000812D3" w:rsidP="006E5A62">
      <w:pPr>
        <w:autoSpaceDE/>
        <w:autoSpaceDN/>
        <w:spacing w:before="240"/>
        <w:jc w:val="center"/>
        <w:rPr>
          <w:rFonts w:ascii="Arial" w:hAnsi="Arial" w:cs="Arial"/>
          <w:sz w:val="18"/>
        </w:rPr>
        <w:sectPr w:rsidR="00BE1FA7" w:rsidRPr="006E5A62" w:rsidSect="00350CC0">
          <w:headerReference w:type="first" r:id="rId13"/>
          <w:footerReference w:type="first" r:id="rId14"/>
          <w:pgSz w:w="11906" w:h="16838" w:code="9"/>
          <w:pgMar w:top="1134" w:right="1247" w:bottom="1021" w:left="1247" w:header="567" w:footer="454" w:gutter="0"/>
          <w:cols w:space="709"/>
          <w:titlePg/>
        </w:sectPr>
      </w:pPr>
      <w:r w:rsidRPr="006E5A62">
        <w:rPr>
          <w:rFonts w:ascii="Arial" w:hAnsi="Arial" w:cs="Arial"/>
          <w:b/>
          <w:sz w:val="18"/>
        </w:rPr>
        <w:t>For more info</w:t>
      </w:r>
      <w:r w:rsidR="004638B4" w:rsidRPr="006E5A62">
        <w:rPr>
          <w:rFonts w:ascii="Arial" w:hAnsi="Arial" w:cs="Arial"/>
          <w:b/>
          <w:sz w:val="18"/>
        </w:rPr>
        <w:t>rmation or to discuss a proposed variation application please contact the OGTR</w:t>
      </w:r>
      <w:r w:rsidR="004638B4" w:rsidRPr="006E5A62">
        <w:rPr>
          <w:rFonts w:ascii="Arial" w:hAnsi="Arial" w:cs="Arial"/>
          <w:sz w:val="18"/>
        </w:rPr>
        <w:t>.</w:t>
      </w:r>
    </w:p>
    <w:p w14:paraId="2498445D" w14:textId="77777777" w:rsidR="005058B3" w:rsidRPr="008C254C" w:rsidRDefault="00AA1E28" w:rsidP="006F23EE">
      <w:pPr>
        <w:pStyle w:val="Heading1"/>
        <w:spacing w:after="180"/>
        <w:jc w:val="center"/>
        <w:rPr>
          <w:rFonts w:ascii="Arial" w:hAnsi="Arial" w:cs="Arial"/>
          <w:sz w:val="22"/>
        </w:rPr>
      </w:pPr>
      <w:r w:rsidRPr="008C254C">
        <w:rPr>
          <w:rFonts w:ascii="Arial" w:hAnsi="Arial" w:cs="Arial"/>
          <w:sz w:val="22"/>
        </w:rPr>
        <w:lastRenderedPageBreak/>
        <w:t xml:space="preserve">Guidance on </w:t>
      </w:r>
      <w:r w:rsidR="000B1826" w:rsidRPr="008C254C">
        <w:rPr>
          <w:rFonts w:ascii="Arial" w:hAnsi="Arial" w:cs="Arial"/>
          <w:sz w:val="22"/>
        </w:rPr>
        <w:t xml:space="preserve">scope for variation </w:t>
      </w:r>
      <w:r w:rsidRPr="008C254C">
        <w:rPr>
          <w:rFonts w:ascii="Arial" w:hAnsi="Arial" w:cs="Arial"/>
          <w:sz w:val="22"/>
        </w:rPr>
        <w:t xml:space="preserve">of </w:t>
      </w:r>
      <w:r w:rsidR="00A91211" w:rsidRPr="008C254C">
        <w:rPr>
          <w:rFonts w:ascii="Arial" w:hAnsi="Arial" w:cs="Arial"/>
          <w:sz w:val="22"/>
        </w:rPr>
        <w:t xml:space="preserve">DIR </w:t>
      </w:r>
      <w:r w:rsidRPr="008C254C">
        <w:rPr>
          <w:rFonts w:ascii="Arial" w:hAnsi="Arial" w:cs="Arial"/>
          <w:sz w:val="22"/>
        </w:rPr>
        <w:t>licence</w:t>
      </w:r>
      <w:r w:rsidR="000B1826" w:rsidRPr="008C254C">
        <w:rPr>
          <w:rFonts w:ascii="Arial" w:hAnsi="Arial" w:cs="Arial"/>
          <w:sz w:val="22"/>
        </w:rPr>
        <w:t>s</w:t>
      </w:r>
      <w:r w:rsidR="00A91211" w:rsidRPr="008C254C">
        <w:rPr>
          <w:rFonts w:ascii="Arial" w:hAnsi="Arial" w:cs="Arial"/>
          <w:sz w:val="22"/>
        </w:rPr>
        <w:t xml:space="preserve"> (environmental release</w:t>
      </w:r>
      <w:r w:rsidR="00655478" w:rsidRPr="008C254C">
        <w:rPr>
          <w:rFonts w:ascii="Arial" w:hAnsi="Arial" w:cs="Arial"/>
          <w:sz w:val="22"/>
        </w:rPr>
        <w:t>s – limited and controlled or commercial</w:t>
      </w:r>
      <w:r w:rsidR="00A91211" w:rsidRPr="008C254C">
        <w:rPr>
          <w:rFonts w:ascii="Arial" w:hAnsi="Arial" w:cs="Arial"/>
          <w:sz w:val="22"/>
        </w:rPr>
        <w:t>)</w:t>
      </w:r>
    </w:p>
    <w:tbl>
      <w:tblPr>
        <w:tblW w:w="15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167"/>
        <w:gridCol w:w="6919"/>
      </w:tblGrid>
      <w:tr w:rsidR="002A5DBD" w:rsidRPr="002A5DBD" w14:paraId="5F0759D3" w14:textId="77777777" w:rsidTr="008C254C">
        <w:trPr>
          <w:trHeight w:val="427"/>
          <w:jc w:val="center"/>
        </w:trPr>
        <w:tc>
          <w:tcPr>
            <w:tcW w:w="8167" w:type="dxa"/>
            <w:tcBorders>
              <w:top w:val="single" w:sz="12" w:space="0" w:color="auto"/>
              <w:bottom w:val="single" w:sz="12" w:space="0" w:color="auto"/>
            </w:tcBorders>
          </w:tcPr>
          <w:p w14:paraId="008357B7" w14:textId="77777777" w:rsidR="00147319" w:rsidRPr="002A5DBD" w:rsidRDefault="000B1826" w:rsidP="00582DEF">
            <w:pPr>
              <w:spacing w:before="60" w:after="60"/>
              <w:ind w:right="34"/>
              <w:jc w:val="center"/>
              <w:rPr>
                <w:rFonts w:ascii="Arial Narrow" w:hAnsi="Arial Narrow" w:cs="Arial"/>
                <w:b/>
                <w:bCs/>
                <w:sz w:val="26"/>
                <w:szCs w:val="26"/>
              </w:rPr>
            </w:pPr>
            <w:r w:rsidRPr="008C254C">
              <w:rPr>
                <w:rFonts w:ascii="Arial Narrow" w:hAnsi="Arial Narrow" w:cs="Arial"/>
                <w:b/>
                <w:bCs/>
                <w:szCs w:val="26"/>
              </w:rPr>
              <w:t xml:space="preserve">Changes likely to be </w:t>
            </w:r>
            <w:r w:rsidR="00D779A3" w:rsidRPr="008C254C">
              <w:rPr>
                <w:rFonts w:ascii="Arial Narrow" w:hAnsi="Arial Narrow" w:cs="Arial"/>
                <w:b/>
                <w:bCs/>
                <w:szCs w:val="26"/>
              </w:rPr>
              <w:t>accepted</w:t>
            </w:r>
            <w:r w:rsidRPr="008C254C">
              <w:rPr>
                <w:rFonts w:ascii="Arial Narrow" w:hAnsi="Arial Narrow" w:cs="Arial"/>
                <w:b/>
                <w:bCs/>
                <w:szCs w:val="26"/>
              </w:rPr>
              <w:t xml:space="preserve"> as</w:t>
            </w:r>
            <w:r w:rsidR="00147319" w:rsidRPr="008C254C">
              <w:rPr>
                <w:rFonts w:ascii="Arial Narrow" w:hAnsi="Arial Narrow" w:cs="Arial"/>
                <w:b/>
                <w:bCs/>
                <w:szCs w:val="26"/>
              </w:rPr>
              <w:t xml:space="preserve"> a </w:t>
            </w:r>
            <w:proofErr w:type="gramStart"/>
            <w:r w:rsidR="00147319" w:rsidRPr="008C254C">
              <w:rPr>
                <w:rFonts w:ascii="Arial Narrow" w:hAnsi="Arial Narrow" w:cs="Arial"/>
                <w:b/>
                <w:bCs/>
                <w:szCs w:val="26"/>
              </w:rPr>
              <w:t>variation</w:t>
            </w:r>
            <w:proofErr w:type="gramEnd"/>
          </w:p>
          <w:p w14:paraId="49C8B63C" w14:textId="77777777" w:rsidR="00316AE6" w:rsidRPr="002A5DBD" w:rsidRDefault="007A30F8" w:rsidP="00AE0872">
            <w:pPr>
              <w:spacing w:before="60" w:after="60"/>
              <w:ind w:left="314" w:right="313"/>
              <w:rPr>
                <w:rFonts w:ascii="Arial Narrow" w:hAnsi="Arial Narrow" w:cs="Arial"/>
                <w:b/>
                <w:bCs/>
                <w:szCs w:val="20"/>
              </w:rPr>
            </w:pPr>
            <w:r w:rsidRPr="002A5DBD">
              <w:rPr>
                <w:rFonts w:ascii="Arial Narrow" w:hAnsi="Arial Narrow" w:cs="Arial"/>
                <w:b/>
                <w:bCs/>
                <w:sz w:val="20"/>
                <w:szCs w:val="20"/>
              </w:rPr>
              <w:t>The following types of c</w:t>
            </w:r>
            <w:r w:rsidR="00812CDB" w:rsidRPr="002A5DBD">
              <w:rPr>
                <w:rFonts w:ascii="Arial Narrow" w:hAnsi="Arial Narrow" w:cs="Arial"/>
                <w:b/>
                <w:bCs/>
                <w:sz w:val="20"/>
                <w:szCs w:val="20"/>
              </w:rPr>
              <w:t xml:space="preserve">hanges </w:t>
            </w:r>
            <w:r w:rsidR="000B1826" w:rsidRPr="002A5DBD">
              <w:rPr>
                <w:rFonts w:ascii="Arial Narrow" w:hAnsi="Arial Narrow" w:cs="Arial"/>
                <w:b/>
                <w:bCs/>
                <w:sz w:val="20"/>
                <w:szCs w:val="20"/>
              </w:rPr>
              <w:t xml:space="preserve">are </w:t>
            </w:r>
            <w:r w:rsidR="00D779A3" w:rsidRPr="002A5DBD">
              <w:rPr>
                <w:rFonts w:ascii="Arial Narrow" w:hAnsi="Arial Narrow" w:cs="Arial"/>
                <w:b/>
                <w:bCs/>
                <w:sz w:val="20"/>
                <w:szCs w:val="20"/>
              </w:rPr>
              <w:t xml:space="preserve">likely to be authorised </w:t>
            </w:r>
            <w:r w:rsidRPr="002A5DBD">
              <w:rPr>
                <w:rFonts w:ascii="Arial Narrow" w:hAnsi="Arial Narrow" w:cs="Arial"/>
                <w:b/>
                <w:bCs/>
                <w:sz w:val="20"/>
                <w:szCs w:val="20"/>
              </w:rPr>
              <w:t>by</w:t>
            </w:r>
            <w:r w:rsidR="00D779A3" w:rsidRPr="002A5DBD">
              <w:rPr>
                <w:rFonts w:ascii="Arial Narrow" w:hAnsi="Arial Narrow" w:cs="Arial"/>
                <w:b/>
                <w:bCs/>
                <w:sz w:val="20"/>
                <w:szCs w:val="20"/>
              </w:rPr>
              <w:t xml:space="preserve"> variation </w:t>
            </w:r>
            <w:r w:rsidRPr="002A5DBD">
              <w:rPr>
                <w:rFonts w:ascii="Arial Narrow" w:hAnsi="Arial Narrow" w:cs="Arial"/>
                <w:b/>
                <w:bCs/>
                <w:sz w:val="20"/>
                <w:szCs w:val="20"/>
              </w:rPr>
              <w:t xml:space="preserve">of </w:t>
            </w:r>
            <w:r w:rsidR="00D779A3" w:rsidRPr="002A5DBD">
              <w:rPr>
                <w:rFonts w:ascii="Arial Narrow" w:hAnsi="Arial Narrow" w:cs="Arial"/>
                <w:b/>
                <w:bCs/>
                <w:sz w:val="20"/>
                <w:szCs w:val="20"/>
              </w:rPr>
              <w:t xml:space="preserve">an existing </w:t>
            </w:r>
            <w:r w:rsidR="00970B23" w:rsidRPr="002A5DBD">
              <w:rPr>
                <w:rFonts w:ascii="Arial Narrow" w:hAnsi="Arial Narrow" w:cs="Arial"/>
                <w:b/>
                <w:bCs/>
                <w:sz w:val="20"/>
                <w:szCs w:val="20"/>
              </w:rPr>
              <w:t xml:space="preserve">DIR </w:t>
            </w:r>
            <w:r w:rsidR="00D779A3" w:rsidRPr="002A5DBD">
              <w:rPr>
                <w:rFonts w:ascii="Arial Narrow" w:hAnsi="Arial Narrow" w:cs="Arial"/>
                <w:b/>
                <w:bCs/>
                <w:sz w:val="20"/>
                <w:szCs w:val="20"/>
              </w:rPr>
              <w:t xml:space="preserve">licence, as they are </w:t>
            </w:r>
            <w:r w:rsidR="00812CDB" w:rsidRPr="002A5DBD">
              <w:rPr>
                <w:rFonts w:ascii="Arial Narrow" w:hAnsi="Arial Narrow" w:cs="Arial"/>
                <w:b/>
                <w:bCs/>
                <w:sz w:val="20"/>
                <w:szCs w:val="20"/>
              </w:rPr>
              <w:t>u</w:t>
            </w:r>
            <w:r w:rsidR="00316AE6" w:rsidRPr="002A5DBD">
              <w:rPr>
                <w:rFonts w:ascii="Arial Narrow" w:hAnsi="Arial Narrow" w:cs="Arial"/>
                <w:b/>
                <w:bCs/>
                <w:sz w:val="20"/>
                <w:szCs w:val="20"/>
              </w:rPr>
              <w:t>nlikely to give rise to risks</w:t>
            </w:r>
            <w:r w:rsidR="00812CDB" w:rsidRPr="002A5DBD">
              <w:rPr>
                <w:rFonts w:ascii="Arial Narrow" w:hAnsi="Arial Narrow" w:cs="Arial"/>
                <w:b/>
                <w:bCs/>
                <w:sz w:val="20"/>
                <w:szCs w:val="20"/>
              </w:rPr>
              <w:t xml:space="preserve"> </w:t>
            </w:r>
            <w:r w:rsidR="000B1826" w:rsidRPr="002A5DBD">
              <w:rPr>
                <w:rFonts w:ascii="Arial Narrow" w:hAnsi="Arial Narrow" w:cs="Arial"/>
                <w:b/>
                <w:bCs/>
                <w:sz w:val="20"/>
                <w:szCs w:val="20"/>
              </w:rPr>
              <w:t xml:space="preserve">that </w:t>
            </w:r>
            <w:r w:rsidR="00F14E11">
              <w:rPr>
                <w:rFonts w:ascii="Arial Narrow" w:hAnsi="Arial Narrow" w:cs="Arial"/>
                <w:b/>
                <w:bCs/>
                <w:sz w:val="20"/>
                <w:szCs w:val="20"/>
              </w:rPr>
              <w:t>are</w:t>
            </w:r>
            <w:r w:rsidR="00F14E11" w:rsidRPr="002A5DBD">
              <w:rPr>
                <w:rFonts w:ascii="Arial Narrow" w:hAnsi="Arial Narrow" w:cs="Arial"/>
                <w:b/>
                <w:bCs/>
                <w:sz w:val="20"/>
                <w:szCs w:val="20"/>
              </w:rPr>
              <w:t xml:space="preserve"> </w:t>
            </w:r>
            <w:r w:rsidR="00812CDB" w:rsidRPr="002A5DBD">
              <w:rPr>
                <w:rFonts w:ascii="Arial Narrow" w:hAnsi="Arial Narrow" w:cs="Arial"/>
                <w:b/>
                <w:bCs/>
                <w:sz w:val="20"/>
                <w:szCs w:val="20"/>
              </w:rPr>
              <w:t xml:space="preserve">not </w:t>
            </w:r>
            <w:r w:rsidR="00DD5432">
              <w:rPr>
                <w:rFonts w:ascii="Arial Narrow" w:hAnsi="Arial Narrow" w:cs="Arial"/>
                <w:b/>
                <w:bCs/>
                <w:sz w:val="20"/>
                <w:szCs w:val="20"/>
              </w:rPr>
              <w:t>covered</w:t>
            </w:r>
            <w:r w:rsidR="00DD5432" w:rsidRPr="002A5DBD">
              <w:rPr>
                <w:rFonts w:ascii="Arial Narrow" w:hAnsi="Arial Narrow" w:cs="Arial"/>
                <w:b/>
                <w:bCs/>
                <w:sz w:val="20"/>
                <w:szCs w:val="20"/>
              </w:rPr>
              <w:t xml:space="preserve"> </w:t>
            </w:r>
            <w:r w:rsidR="00776BAE">
              <w:rPr>
                <w:rFonts w:ascii="Arial Narrow" w:hAnsi="Arial Narrow" w:cs="Arial"/>
                <w:b/>
                <w:bCs/>
                <w:sz w:val="20"/>
                <w:szCs w:val="20"/>
              </w:rPr>
              <w:t xml:space="preserve">in </w:t>
            </w:r>
            <w:r w:rsidR="00AE0872">
              <w:rPr>
                <w:rFonts w:ascii="Arial Narrow" w:hAnsi="Arial Narrow" w:cs="Arial"/>
                <w:b/>
                <w:bCs/>
                <w:sz w:val="20"/>
                <w:szCs w:val="20"/>
              </w:rPr>
              <w:t>a relevant RARMP</w:t>
            </w:r>
            <w:r w:rsidR="00A733C8">
              <w:rPr>
                <w:rFonts w:ascii="Arial Narrow" w:hAnsi="Arial Narrow" w:cs="Arial"/>
                <w:b/>
                <w:bCs/>
                <w:sz w:val="20"/>
                <w:szCs w:val="20"/>
              </w:rPr>
              <w:t>.</w:t>
            </w:r>
            <w:r w:rsidR="00A733C8">
              <w:rPr>
                <w:rFonts w:ascii="Arial Narrow" w:hAnsi="Arial Narrow" w:cs="Arial"/>
                <w:b/>
                <w:bCs/>
                <w:sz w:val="20"/>
                <w:szCs w:val="20"/>
                <w:highlight w:val="yellow"/>
              </w:rPr>
              <w:t xml:space="preserve"> </w:t>
            </w:r>
          </w:p>
        </w:tc>
        <w:tc>
          <w:tcPr>
            <w:tcW w:w="6919" w:type="dxa"/>
            <w:tcBorders>
              <w:top w:val="single" w:sz="12" w:space="0" w:color="auto"/>
              <w:bottom w:val="single" w:sz="12" w:space="0" w:color="auto"/>
            </w:tcBorders>
          </w:tcPr>
          <w:p w14:paraId="340402D3" w14:textId="77777777" w:rsidR="00147319" w:rsidRPr="008C254C" w:rsidRDefault="008677F3" w:rsidP="007A30F8">
            <w:pPr>
              <w:spacing w:before="60" w:after="60"/>
              <w:ind w:right="34"/>
              <w:jc w:val="center"/>
              <w:rPr>
                <w:rFonts w:ascii="Arial Narrow" w:hAnsi="Arial Narrow" w:cs="Arial"/>
                <w:b/>
                <w:bCs/>
                <w:szCs w:val="26"/>
              </w:rPr>
            </w:pPr>
            <w:r w:rsidRPr="008C254C">
              <w:rPr>
                <w:rFonts w:ascii="Arial Narrow" w:hAnsi="Arial Narrow" w:cs="Arial"/>
                <w:b/>
                <w:bCs/>
                <w:szCs w:val="26"/>
              </w:rPr>
              <w:t>Changes un</w:t>
            </w:r>
            <w:r w:rsidR="00147319" w:rsidRPr="008C254C">
              <w:rPr>
                <w:rFonts w:ascii="Arial Narrow" w:hAnsi="Arial Narrow" w:cs="Arial"/>
                <w:b/>
                <w:bCs/>
                <w:szCs w:val="26"/>
              </w:rPr>
              <w:t>likely</w:t>
            </w:r>
            <w:r w:rsidR="000B1826" w:rsidRPr="008C254C">
              <w:rPr>
                <w:rFonts w:ascii="Arial Narrow" w:hAnsi="Arial Narrow" w:cs="Arial"/>
                <w:b/>
                <w:bCs/>
                <w:szCs w:val="26"/>
              </w:rPr>
              <w:t xml:space="preserve"> to be </w:t>
            </w:r>
            <w:r w:rsidR="00D779A3" w:rsidRPr="008C254C">
              <w:rPr>
                <w:rFonts w:ascii="Arial Narrow" w:hAnsi="Arial Narrow" w:cs="Arial"/>
                <w:b/>
                <w:bCs/>
                <w:szCs w:val="26"/>
              </w:rPr>
              <w:t>accepted</w:t>
            </w:r>
            <w:r w:rsidR="000B1826" w:rsidRPr="008C254C">
              <w:rPr>
                <w:rFonts w:ascii="Arial Narrow" w:hAnsi="Arial Narrow" w:cs="Arial"/>
                <w:b/>
                <w:bCs/>
                <w:szCs w:val="26"/>
              </w:rPr>
              <w:t xml:space="preserve"> as</w:t>
            </w:r>
            <w:r w:rsidR="00147319" w:rsidRPr="008C254C">
              <w:rPr>
                <w:rFonts w:ascii="Arial Narrow" w:hAnsi="Arial Narrow" w:cs="Arial"/>
                <w:b/>
                <w:bCs/>
                <w:szCs w:val="26"/>
              </w:rPr>
              <w:t xml:space="preserve"> a </w:t>
            </w:r>
            <w:proofErr w:type="gramStart"/>
            <w:r w:rsidR="00147319" w:rsidRPr="008C254C">
              <w:rPr>
                <w:rFonts w:ascii="Arial Narrow" w:hAnsi="Arial Narrow" w:cs="Arial"/>
                <w:b/>
                <w:bCs/>
                <w:szCs w:val="26"/>
              </w:rPr>
              <w:t>variation</w:t>
            </w:r>
            <w:proofErr w:type="gramEnd"/>
          </w:p>
          <w:p w14:paraId="18ED3498" w14:textId="77777777" w:rsidR="00316AE6" w:rsidRPr="002A5DBD" w:rsidRDefault="007A30F8" w:rsidP="00AE0872">
            <w:pPr>
              <w:spacing w:before="60" w:after="60"/>
              <w:ind w:left="314" w:right="313"/>
              <w:rPr>
                <w:rFonts w:ascii="Arial Narrow" w:hAnsi="Arial Narrow" w:cs="Arial"/>
                <w:b/>
                <w:bCs/>
                <w:szCs w:val="20"/>
              </w:rPr>
            </w:pPr>
            <w:r w:rsidRPr="002A5DBD">
              <w:rPr>
                <w:rFonts w:ascii="Arial Narrow" w:hAnsi="Arial Narrow" w:cs="Arial"/>
                <w:b/>
                <w:bCs/>
                <w:sz w:val="20"/>
                <w:szCs w:val="20"/>
              </w:rPr>
              <w:t>The following types of changes are</w:t>
            </w:r>
            <w:r w:rsidR="00970B23" w:rsidRPr="002A5DBD">
              <w:rPr>
                <w:rFonts w:ascii="Arial Narrow" w:hAnsi="Arial Narrow" w:cs="Arial"/>
                <w:b/>
                <w:bCs/>
                <w:sz w:val="20"/>
                <w:szCs w:val="20"/>
              </w:rPr>
              <w:t xml:space="preserve"> unlikely to be authorised by variation of an existing DIR licence</w:t>
            </w:r>
            <w:r w:rsidRPr="002A5DBD">
              <w:rPr>
                <w:rFonts w:ascii="Arial Narrow" w:hAnsi="Arial Narrow" w:cs="Arial"/>
                <w:b/>
                <w:bCs/>
                <w:sz w:val="20"/>
                <w:szCs w:val="20"/>
              </w:rPr>
              <w:t xml:space="preserve"> </w:t>
            </w:r>
            <w:r w:rsidR="00970B23" w:rsidRPr="002A5DBD">
              <w:rPr>
                <w:rFonts w:ascii="Arial Narrow" w:hAnsi="Arial Narrow" w:cs="Arial"/>
                <w:b/>
                <w:bCs/>
                <w:sz w:val="20"/>
                <w:szCs w:val="20"/>
              </w:rPr>
              <w:t>as they m</w:t>
            </w:r>
            <w:r w:rsidR="00316AE6" w:rsidRPr="002A5DBD">
              <w:rPr>
                <w:rFonts w:ascii="Arial Narrow" w:hAnsi="Arial Narrow" w:cs="Arial"/>
                <w:b/>
                <w:bCs/>
                <w:sz w:val="20"/>
                <w:szCs w:val="20"/>
              </w:rPr>
              <w:t>ay give rise to additional risks</w:t>
            </w:r>
            <w:r w:rsidR="00812CDB" w:rsidRPr="002A5DBD">
              <w:rPr>
                <w:rFonts w:ascii="Arial Narrow" w:hAnsi="Arial Narrow" w:cs="Arial"/>
                <w:b/>
                <w:bCs/>
                <w:sz w:val="20"/>
                <w:szCs w:val="20"/>
              </w:rPr>
              <w:t xml:space="preserve"> not </w:t>
            </w:r>
            <w:r w:rsidR="00DD5432">
              <w:rPr>
                <w:rFonts w:ascii="Arial Narrow" w:hAnsi="Arial Narrow" w:cs="Arial"/>
                <w:b/>
                <w:bCs/>
                <w:sz w:val="20"/>
                <w:szCs w:val="20"/>
              </w:rPr>
              <w:t>covered</w:t>
            </w:r>
            <w:r w:rsidR="00DD5432" w:rsidRPr="002A5DBD">
              <w:rPr>
                <w:rFonts w:ascii="Arial Narrow" w:hAnsi="Arial Narrow" w:cs="Arial"/>
                <w:b/>
                <w:bCs/>
                <w:sz w:val="20"/>
                <w:szCs w:val="20"/>
              </w:rPr>
              <w:t xml:space="preserve"> </w:t>
            </w:r>
            <w:r w:rsidR="00812CDB" w:rsidRPr="002A5DBD">
              <w:rPr>
                <w:rFonts w:ascii="Arial Narrow" w:hAnsi="Arial Narrow" w:cs="Arial"/>
                <w:b/>
                <w:bCs/>
                <w:sz w:val="20"/>
                <w:szCs w:val="20"/>
              </w:rPr>
              <w:t xml:space="preserve">in </w:t>
            </w:r>
            <w:r w:rsidR="00AE0872">
              <w:rPr>
                <w:rFonts w:ascii="Arial Narrow" w:hAnsi="Arial Narrow" w:cs="Arial"/>
                <w:b/>
                <w:bCs/>
                <w:sz w:val="20"/>
                <w:szCs w:val="20"/>
              </w:rPr>
              <w:t>a relevant RARMP</w:t>
            </w:r>
            <w:r w:rsidR="00A733C8">
              <w:rPr>
                <w:rFonts w:ascii="Arial Narrow" w:hAnsi="Arial Narrow" w:cs="Arial"/>
                <w:b/>
                <w:bCs/>
                <w:sz w:val="20"/>
                <w:szCs w:val="20"/>
              </w:rPr>
              <w:t xml:space="preserve">. </w:t>
            </w:r>
            <w:r w:rsidR="00CB141A">
              <w:rPr>
                <w:rFonts w:ascii="Arial Narrow" w:hAnsi="Arial Narrow" w:cs="Arial"/>
                <w:b/>
                <w:bCs/>
                <w:sz w:val="20"/>
                <w:szCs w:val="20"/>
              </w:rPr>
              <w:t>A</w:t>
            </w:r>
            <w:r w:rsidR="00970B23" w:rsidRPr="002A5DBD">
              <w:rPr>
                <w:rFonts w:ascii="Arial Narrow" w:hAnsi="Arial Narrow" w:cs="Arial"/>
                <w:b/>
                <w:bCs/>
                <w:sz w:val="20"/>
                <w:szCs w:val="20"/>
              </w:rPr>
              <w:t xml:space="preserve"> new DIR licence application may be needed.</w:t>
            </w:r>
          </w:p>
        </w:tc>
      </w:tr>
      <w:tr w:rsidR="002A5DBD" w:rsidRPr="002A5DBD" w14:paraId="01A2C7E7" w14:textId="77777777" w:rsidTr="008C254C">
        <w:trPr>
          <w:trHeight w:val="681"/>
          <w:jc w:val="center"/>
        </w:trPr>
        <w:tc>
          <w:tcPr>
            <w:tcW w:w="8167" w:type="dxa"/>
            <w:tcBorders>
              <w:top w:val="single" w:sz="12" w:space="0" w:color="auto"/>
            </w:tcBorders>
          </w:tcPr>
          <w:p w14:paraId="380DCCBE" w14:textId="77777777" w:rsidR="003F2442" w:rsidRPr="008C254C" w:rsidRDefault="003F2442" w:rsidP="00FD5C72">
            <w:pPr>
              <w:autoSpaceDE/>
              <w:autoSpaceDN/>
              <w:spacing w:before="60" w:after="60"/>
              <w:ind w:left="28"/>
              <w:rPr>
                <w:rFonts w:ascii="Arial Narrow" w:hAnsi="Arial Narrow" w:cs="Arial"/>
                <w:sz w:val="22"/>
                <w:szCs w:val="22"/>
              </w:rPr>
            </w:pPr>
            <w:r w:rsidRPr="008C254C">
              <w:rPr>
                <w:rFonts w:ascii="Arial Narrow" w:hAnsi="Arial Narrow" w:cs="Arial"/>
                <w:sz w:val="22"/>
                <w:szCs w:val="22"/>
              </w:rPr>
              <w:t xml:space="preserve">Minor administrative changes such as updating organisation details, amending reporting conditions, </w:t>
            </w:r>
            <w:proofErr w:type="gramStart"/>
            <w:r w:rsidRPr="008C254C">
              <w:rPr>
                <w:rFonts w:ascii="Arial Narrow" w:hAnsi="Arial Narrow" w:cs="Arial"/>
                <w:sz w:val="22"/>
                <w:szCs w:val="22"/>
              </w:rPr>
              <w:t>adding</w:t>
            </w:r>
            <w:proofErr w:type="gramEnd"/>
            <w:r w:rsidRPr="008C254C">
              <w:rPr>
                <w:rFonts w:ascii="Arial Narrow" w:hAnsi="Arial Narrow" w:cs="Arial"/>
                <w:sz w:val="22"/>
                <w:szCs w:val="22"/>
              </w:rPr>
              <w:t xml:space="preserve"> or removing persons covered by the licence</w:t>
            </w:r>
          </w:p>
        </w:tc>
        <w:tc>
          <w:tcPr>
            <w:tcW w:w="6919" w:type="dxa"/>
            <w:tcBorders>
              <w:top w:val="single" w:sz="12" w:space="0" w:color="auto"/>
            </w:tcBorders>
          </w:tcPr>
          <w:p w14:paraId="04746DBE" w14:textId="77777777" w:rsidR="003F2442" w:rsidRPr="008C254C" w:rsidRDefault="003F2442" w:rsidP="003E2B49">
            <w:pPr>
              <w:autoSpaceDE/>
              <w:autoSpaceDN/>
              <w:spacing w:before="60" w:after="60"/>
              <w:ind w:left="28"/>
              <w:rPr>
                <w:rFonts w:ascii="Arial Narrow" w:hAnsi="Arial Narrow" w:cs="Arial"/>
                <w:sz w:val="22"/>
                <w:szCs w:val="22"/>
              </w:rPr>
            </w:pPr>
            <w:r w:rsidRPr="008C254C">
              <w:rPr>
                <w:rFonts w:ascii="Arial Narrow" w:hAnsi="Arial Narrow" w:cs="Arial"/>
                <w:sz w:val="22"/>
                <w:szCs w:val="22"/>
              </w:rPr>
              <w:t xml:space="preserve">Addition of </w:t>
            </w:r>
            <w:r w:rsidR="00041F59" w:rsidRPr="008C254C">
              <w:rPr>
                <w:rFonts w:ascii="Arial Narrow" w:hAnsi="Arial Narrow" w:cs="Arial"/>
                <w:sz w:val="22"/>
                <w:szCs w:val="22"/>
              </w:rPr>
              <w:t>the same GM trait to an unrelated</w:t>
            </w:r>
            <w:r w:rsidRPr="008C254C">
              <w:rPr>
                <w:rFonts w:ascii="Arial Narrow" w:hAnsi="Arial Narrow" w:cs="Arial"/>
                <w:sz w:val="22"/>
                <w:szCs w:val="22"/>
              </w:rPr>
              <w:t xml:space="preserve"> species</w:t>
            </w:r>
          </w:p>
        </w:tc>
      </w:tr>
      <w:tr w:rsidR="001057BC" w:rsidRPr="002A5DBD" w14:paraId="1BF752A8" w14:textId="77777777" w:rsidTr="008C254C">
        <w:trPr>
          <w:trHeight w:val="601"/>
          <w:jc w:val="center"/>
        </w:trPr>
        <w:tc>
          <w:tcPr>
            <w:tcW w:w="8167" w:type="dxa"/>
            <w:vMerge w:val="restart"/>
          </w:tcPr>
          <w:p w14:paraId="5CDB8D08" w14:textId="77777777" w:rsidR="001057BC" w:rsidRPr="008C254C" w:rsidRDefault="001057BC" w:rsidP="00915D9D">
            <w:pPr>
              <w:autoSpaceDE/>
              <w:autoSpaceDN/>
              <w:spacing w:before="60"/>
              <w:ind w:left="30"/>
              <w:rPr>
                <w:rFonts w:ascii="Arial Narrow" w:hAnsi="Arial Narrow" w:cs="Arial"/>
                <w:sz w:val="22"/>
                <w:szCs w:val="22"/>
              </w:rPr>
            </w:pPr>
            <w:r w:rsidRPr="008C254C">
              <w:rPr>
                <w:rFonts w:ascii="Arial Narrow" w:hAnsi="Arial Narrow" w:cs="Arial"/>
                <w:sz w:val="22"/>
                <w:szCs w:val="22"/>
              </w:rPr>
              <w:t>Minor changes to management protocols such as:</w:t>
            </w:r>
          </w:p>
          <w:p w14:paraId="6DBE5AE0" w14:textId="77777777" w:rsidR="001057BC" w:rsidRPr="008C254C" w:rsidRDefault="001057BC" w:rsidP="00915D9D">
            <w:pPr>
              <w:numPr>
                <w:ilvl w:val="0"/>
                <w:numId w:val="40"/>
              </w:numPr>
              <w:tabs>
                <w:tab w:val="clear" w:pos="587"/>
                <w:tab w:val="num" w:pos="456"/>
              </w:tabs>
              <w:autoSpaceDE/>
              <w:autoSpaceDN/>
              <w:ind w:left="456" w:hanging="284"/>
              <w:rPr>
                <w:rFonts w:ascii="Arial Narrow" w:hAnsi="Arial Narrow" w:cs="Arial"/>
                <w:sz w:val="22"/>
                <w:szCs w:val="22"/>
              </w:rPr>
            </w:pPr>
            <w:r w:rsidRPr="008C254C">
              <w:rPr>
                <w:rFonts w:ascii="Arial Narrow" w:hAnsi="Arial Narrow" w:cs="Arial"/>
                <w:sz w:val="22"/>
                <w:szCs w:val="22"/>
              </w:rPr>
              <w:t xml:space="preserve">a short delay to harvest or cleaning of a trial site or destruction of </w:t>
            </w:r>
            <w:proofErr w:type="gramStart"/>
            <w:r w:rsidRPr="008C254C">
              <w:rPr>
                <w:rFonts w:ascii="Arial Narrow" w:hAnsi="Arial Narrow" w:cs="Arial"/>
                <w:sz w:val="22"/>
                <w:szCs w:val="22"/>
              </w:rPr>
              <w:t>GMOs</w:t>
            </w:r>
            <w:proofErr w:type="gramEnd"/>
          </w:p>
          <w:p w14:paraId="3AB1290E" w14:textId="77777777" w:rsidR="001057BC" w:rsidRPr="008C254C" w:rsidRDefault="001057BC" w:rsidP="008C254C">
            <w:pPr>
              <w:numPr>
                <w:ilvl w:val="0"/>
                <w:numId w:val="40"/>
              </w:numPr>
              <w:tabs>
                <w:tab w:val="clear" w:pos="587"/>
                <w:tab w:val="num" w:pos="456"/>
              </w:tabs>
              <w:ind w:left="456" w:hanging="284"/>
              <w:rPr>
                <w:rFonts w:ascii="Arial Narrow" w:hAnsi="Arial Narrow" w:cs="Arial"/>
                <w:sz w:val="22"/>
                <w:szCs w:val="22"/>
              </w:rPr>
            </w:pPr>
            <w:r w:rsidRPr="008C254C">
              <w:rPr>
                <w:rFonts w:ascii="Arial Narrow" w:hAnsi="Arial Narrow" w:cs="Arial"/>
                <w:sz w:val="22"/>
                <w:szCs w:val="22"/>
              </w:rPr>
              <w:t xml:space="preserve">change to standard management conditions which achieve the same outcomes as those required by the licence and described in </w:t>
            </w:r>
            <w:r w:rsidR="00AE0872" w:rsidRPr="008C254C">
              <w:rPr>
                <w:rFonts w:ascii="Arial Narrow" w:hAnsi="Arial Narrow" w:cs="Arial"/>
                <w:sz w:val="22"/>
                <w:szCs w:val="22"/>
              </w:rPr>
              <w:t xml:space="preserve">a relevant RARMP </w:t>
            </w:r>
            <w:r w:rsidRPr="008C254C">
              <w:rPr>
                <w:rFonts w:ascii="Arial Narrow" w:hAnsi="Arial Narrow" w:cs="Arial"/>
                <w:sz w:val="22"/>
                <w:szCs w:val="22"/>
              </w:rPr>
              <w:t>(</w:t>
            </w:r>
            <w:proofErr w:type="gramStart"/>
            <w:r w:rsidRPr="008C254C">
              <w:rPr>
                <w:rFonts w:ascii="Arial Narrow" w:hAnsi="Arial Narrow" w:cs="Arial"/>
                <w:i/>
                <w:sz w:val="22"/>
                <w:szCs w:val="22"/>
              </w:rPr>
              <w:t>e.g.</w:t>
            </w:r>
            <w:proofErr w:type="gramEnd"/>
            <w:r w:rsidRPr="008C254C">
              <w:rPr>
                <w:rFonts w:ascii="Arial Narrow" w:hAnsi="Arial Narrow" w:cs="Arial"/>
                <w:sz w:val="22"/>
                <w:szCs w:val="22"/>
              </w:rPr>
              <w:t xml:space="preserve"> method of harvest or destruction)</w:t>
            </w:r>
          </w:p>
        </w:tc>
        <w:tc>
          <w:tcPr>
            <w:tcW w:w="6919" w:type="dxa"/>
          </w:tcPr>
          <w:p w14:paraId="3980C44B" w14:textId="1B98066E" w:rsidR="001057BC" w:rsidRPr="008C254C" w:rsidRDefault="001057BC">
            <w:pPr>
              <w:autoSpaceDE/>
              <w:autoSpaceDN/>
              <w:spacing w:before="60" w:after="60"/>
              <w:ind w:left="28"/>
              <w:rPr>
                <w:rFonts w:ascii="Arial Narrow" w:hAnsi="Arial Narrow" w:cs="Arial"/>
                <w:sz w:val="22"/>
                <w:szCs w:val="22"/>
              </w:rPr>
            </w:pPr>
            <w:r w:rsidRPr="008C254C">
              <w:rPr>
                <w:rFonts w:ascii="Arial Narrow" w:hAnsi="Arial Narrow" w:cs="Arial"/>
                <w:sz w:val="22"/>
                <w:szCs w:val="22"/>
              </w:rPr>
              <w:t>Addition</w:t>
            </w:r>
            <w:r w:rsidR="00225EFE" w:rsidRPr="008C254C">
              <w:rPr>
                <w:rFonts w:ascii="Arial Narrow" w:hAnsi="Arial Narrow" w:cs="Arial"/>
                <w:sz w:val="22"/>
                <w:szCs w:val="22"/>
              </w:rPr>
              <w:t xml:space="preserve"> of</w:t>
            </w:r>
            <w:r w:rsidRPr="008C254C">
              <w:rPr>
                <w:rFonts w:ascii="Arial Narrow" w:hAnsi="Arial Narrow" w:cs="Arial"/>
                <w:sz w:val="22"/>
                <w:szCs w:val="22"/>
              </w:rPr>
              <w:t xml:space="preserve"> GMOs containing a novel</w:t>
            </w:r>
            <w:r w:rsidR="008857A1" w:rsidRPr="008C254C">
              <w:rPr>
                <w:rFonts w:ascii="Arial Narrow" w:hAnsi="Arial Narrow" w:cs="Arial"/>
                <w:sz w:val="22"/>
                <w:szCs w:val="22"/>
              </w:rPr>
              <w:t xml:space="preserve"> </w:t>
            </w:r>
            <w:r w:rsidRPr="008C254C">
              <w:rPr>
                <w:rFonts w:ascii="Arial Narrow" w:hAnsi="Arial Narrow" w:cs="Arial"/>
                <w:sz w:val="22"/>
                <w:szCs w:val="22"/>
              </w:rPr>
              <w:t>trait which was not</w:t>
            </w:r>
            <w:r w:rsidR="00AE0872" w:rsidRPr="008C254C">
              <w:rPr>
                <w:rFonts w:ascii="Arial Narrow" w:hAnsi="Arial Narrow" w:cs="Arial"/>
                <w:sz w:val="22"/>
                <w:szCs w:val="22"/>
              </w:rPr>
              <w:t xml:space="preserve"> assessed </w:t>
            </w:r>
            <w:r w:rsidR="00225EFE" w:rsidRPr="008C254C">
              <w:rPr>
                <w:rFonts w:ascii="Arial Narrow" w:hAnsi="Arial Narrow" w:cs="Arial"/>
                <w:sz w:val="22"/>
                <w:szCs w:val="22"/>
              </w:rPr>
              <w:t>in the original RARMP</w:t>
            </w:r>
          </w:p>
        </w:tc>
      </w:tr>
      <w:tr w:rsidR="001057BC" w:rsidRPr="002A5DBD" w14:paraId="4CE887A9" w14:textId="77777777" w:rsidTr="008C254C">
        <w:trPr>
          <w:trHeight w:val="601"/>
          <w:jc w:val="center"/>
        </w:trPr>
        <w:tc>
          <w:tcPr>
            <w:tcW w:w="8167" w:type="dxa"/>
            <w:vMerge/>
          </w:tcPr>
          <w:p w14:paraId="7A2AAF99" w14:textId="77777777" w:rsidR="001057BC" w:rsidRPr="008C254C" w:rsidRDefault="001057BC" w:rsidP="00915D9D">
            <w:pPr>
              <w:autoSpaceDE/>
              <w:autoSpaceDN/>
              <w:spacing w:before="60"/>
              <w:ind w:left="30"/>
              <w:rPr>
                <w:rFonts w:ascii="Arial Narrow" w:hAnsi="Arial Narrow" w:cs="Arial"/>
                <w:sz w:val="22"/>
                <w:szCs w:val="22"/>
              </w:rPr>
            </w:pPr>
          </w:p>
        </w:tc>
        <w:tc>
          <w:tcPr>
            <w:tcW w:w="6919" w:type="dxa"/>
            <w:vMerge w:val="restart"/>
          </w:tcPr>
          <w:p w14:paraId="529F861A" w14:textId="77777777" w:rsidR="001057BC" w:rsidRPr="008C254C" w:rsidRDefault="001057BC" w:rsidP="00FC0C85">
            <w:pPr>
              <w:spacing w:before="60" w:after="60"/>
              <w:ind w:left="28"/>
              <w:rPr>
                <w:rFonts w:ascii="Arial Narrow" w:hAnsi="Arial Narrow" w:cs="Arial"/>
                <w:sz w:val="22"/>
                <w:szCs w:val="22"/>
              </w:rPr>
            </w:pPr>
            <w:r w:rsidRPr="008C254C">
              <w:rPr>
                <w:rFonts w:ascii="Arial Narrow" w:hAnsi="Arial Narrow" w:cs="Arial"/>
                <w:sz w:val="22"/>
                <w:szCs w:val="22"/>
              </w:rPr>
              <w:t xml:space="preserve">Major changes to management protocols relative to those required by the licence and described in </w:t>
            </w:r>
            <w:r w:rsidR="00FC0C85" w:rsidRPr="008C254C">
              <w:rPr>
                <w:rFonts w:ascii="Arial Narrow" w:hAnsi="Arial Narrow" w:cs="Arial"/>
                <w:sz w:val="22"/>
                <w:szCs w:val="22"/>
              </w:rPr>
              <w:t>a relevant</w:t>
            </w:r>
            <w:r w:rsidRPr="008C254C">
              <w:rPr>
                <w:rFonts w:ascii="Arial Narrow" w:hAnsi="Arial Narrow" w:cs="Arial"/>
                <w:sz w:val="22"/>
                <w:szCs w:val="22"/>
              </w:rPr>
              <w:t xml:space="preserve"> RARMP (</w:t>
            </w:r>
            <w:proofErr w:type="gramStart"/>
            <w:r w:rsidRPr="008C254C">
              <w:rPr>
                <w:rFonts w:ascii="Arial Narrow" w:hAnsi="Arial Narrow" w:cs="Arial"/>
                <w:i/>
                <w:iCs/>
                <w:sz w:val="22"/>
                <w:szCs w:val="22"/>
              </w:rPr>
              <w:t>e.g.</w:t>
            </w:r>
            <w:proofErr w:type="gramEnd"/>
            <w:r w:rsidRPr="008C254C">
              <w:rPr>
                <w:rFonts w:ascii="Arial Narrow" w:hAnsi="Arial Narrow" w:cs="Arial"/>
                <w:sz w:val="22"/>
                <w:szCs w:val="22"/>
              </w:rPr>
              <w:t xml:space="preserve"> major reduction in containment measures, such as dispensing with pollen traps or isolation zones)</w:t>
            </w:r>
          </w:p>
        </w:tc>
      </w:tr>
      <w:tr w:rsidR="001057BC" w:rsidRPr="002A5DBD" w14:paraId="7431AD66" w14:textId="77777777" w:rsidTr="008C254C">
        <w:trPr>
          <w:trHeight w:val="312"/>
          <w:jc w:val="center"/>
        </w:trPr>
        <w:tc>
          <w:tcPr>
            <w:tcW w:w="8167" w:type="dxa"/>
            <w:vMerge w:val="restart"/>
          </w:tcPr>
          <w:p w14:paraId="0FA92DAC" w14:textId="77777777" w:rsidR="001057BC" w:rsidRPr="008C254C" w:rsidRDefault="001057BC" w:rsidP="00AE0872">
            <w:pPr>
              <w:spacing w:before="60" w:after="60"/>
              <w:ind w:left="28"/>
              <w:rPr>
                <w:rFonts w:ascii="Arial Narrow" w:hAnsi="Arial Narrow" w:cs="Arial"/>
                <w:sz w:val="22"/>
                <w:szCs w:val="22"/>
              </w:rPr>
            </w:pPr>
            <w:r w:rsidRPr="008C254C">
              <w:rPr>
                <w:rFonts w:ascii="Arial Narrow" w:hAnsi="Arial Narrow" w:cs="Arial"/>
                <w:sz w:val="22"/>
                <w:szCs w:val="22"/>
              </w:rPr>
              <w:t xml:space="preserve">Addition of a new GMO dealing which presents similar risks to dealings proposed in the original application and </w:t>
            </w:r>
            <w:r w:rsidR="00B042DD" w:rsidRPr="008C254C">
              <w:rPr>
                <w:rFonts w:ascii="Arial Narrow" w:hAnsi="Arial Narrow" w:cs="Arial"/>
                <w:sz w:val="22"/>
                <w:szCs w:val="22"/>
              </w:rPr>
              <w:t xml:space="preserve">which have been assessed </w:t>
            </w:r>
            <w:r w:rsidRPr="008C254C">
              <w:rPr>
                <w:rFonts w:ascii="Arial Narrow" w:hAnsi="Arial Narrow" w:cs="Arial"/>
                <w:sz w:val="22"/>
                <w:szCs w:val="22"/>
              </w:rPr>
              <w:t xml:space="preserve">in </w:t>
            </w:r>
            <w:r w:rsidR="00AE0872" w:rsidRPr="008C254C">
              <w:rPr>
                <w:rFonts w:ascii="Arial Narrow" w:hAnsi="Arial Narrow" w:cs="Arial"/>
                <w:sz w:val="22"/>
                <w:szCs w:val="22"/>
              </w:rPr>
              <w:t>a relevant RARMP</w:t>
            </w:r>
            <w:r w:rsidRPr="008C254C">
              <w:rPr>
                <w:rFonts w:ascii="Arial Narrow" w:hAnsi="Arial Narrow" w:cs="Arial"/>
                <w:sz w:val="22"/>
                <w:szCs w:val="22"/>
              </w:rPr>
              <w:t xml:space="preserve"> (</w:t>
            </w:r>
            <w:proofErr w:type="gramStart"/>
            <w:r w:rsidRPr="008C254C">
              <w:rPr>
                <w:rFonts w:ascii="Arial Narrow" w:hAnsi="Arial Narrow" w:cs="Arial"/>
                <w:i/>
                <w:sz w:val="22"/>
                <w:szCs w:val="22"/>
              </w:rPr>
              <w:t>e.g.</w:t>
            </w:r>
            <w:proofErr w:type="gramEnd"/>
            <w:r w:rsidRPr="008C254C">
              <w:rPr>
                <w:rFonts w:ascii="Arial Narrow" w:hAnsi="Arial Narrow" w:cs="Arial"/>
                <w:sz w:val="22"/>
                <w:szCs w:val="22"/>
              </w:rPr>
              <w:t xml:space="preserve"> adding import or storage)</w:t>
            </w:r>
          </w:p>
        </w:tc>
        <w:tc>
          <w:tcPr>
            <w:tcW w:w="6919" w:type="dxa"/>
            <w:vMerge/>
          </w:tcPr>
          <w:p w14:paraId="6849D9B4" w14:textId="77777777" w:rsidR="001057BC" w:rsidRPr="008C254C" w:rsidRDefault="001057BC" w:rsidP="000D6D78">
            <w:pPr>
              <w:autoSpaceDE/>
              <w:autoSpaceDN/>
              <w:spacing w:before="60" w:after="60"/>
              <w:ind w:left="28"/>
              <w:rPr>
                <w:rFonts w:ascii="Arial Narrow" w:hAnsi="Arial Narrow" w:cs="Arial"/>
                <w:sz w:val="22"/>
                <w:szCs w:val="22"/>
              </w:rPr>
            </w:pPr>
          </w:p>
        </w:tc>
      </w:tr>
      <w:tr w:rsidR="001057BC" w:rsidRPr="002A5DBD" w14:paraId="36C91A9D" w14:textId="77777777" w:rsidTr="005B5A2F">
        <w:trPr>
          <w:trHeight w:val="395"/>
          <w:jc w:val="center"/>
        </w:trPr>
        <w:tc>
          <w:tcPr>
            <w:tcW w:w="8167" w:type="dxa"/>
            <w:vMerge/>
          </w:tcPr>
          <w:p w14:paraId="30D6082F" w14:textId="77777777" w:rsidR="001057BC" w:rsidRPr="008C254C" w:rsidRDefault="001057BC" w:rsidP="00102672">
            <w:pPr>
              <w:autoSpaceDE/>
              <w:autoSpaceDN/>
              <w:spacing w:before="60" w:after="60"/>
              <w:ind w:left="28"/>
              <w:rPr>
                <w:rFonts w:ascii="Arial Narrow" w:hAnsi="Arial Narrow" w:cs="Arial"/>
                <w:sz w:val="22"/>
                <w:szCs w:val="22"/>
              </w:rPr>
            </w:pPr>
          </w:p>
        </w:tc>
        <w:tc>
          <w:tcPr>
            <w:tcW w:w="6919" w:type="dxa"/>
            <w:vMerge w:val="restart"/>
          </w:tcPr>
          <w:p w14:paraId="1E04BCBB" w14:textId="77777777" w:rsidR="00A31916" w:rsidRPr="008C254C" w:rsidRDefault="001057BC" w:rsidP="005B5A2F">
            <w:pPr>
              <w:autoSpaceDE/>
              <w:autoSpaceDN/>
              <w:spacing w:before="60" w:after="60"/>
              <w:ind w:left="28"/>
              <w:rPr>
                <w:rFonts w:ascii="Arial Narrow" w:hAnsi="Arial Narrow" w:cs="Arial"/>
                <w:sz w:val="22"/>
                <w:szCs w:val="22"/>
              </w:rPr>
            </w:pPr>
            <w:r w:rsidRPr="008C254C">
              <w:rPr>
                <w:rFonts w:ascii="Arial Narrow" w:hAnsi="Arial Narrow" w:cs="Arial"/>
                <w:sz w:val="22"/>
                <w:szCs w:val="22"/>
              </w:rPr>
              <w:t xml:space="preserve">Addition of a new dealing which presents different risks to dealings </w:t>
            </w:r>
            <w:r w:rsidR="00A31916" w:rsidRPr="008C254C">
              <w:rPr>
                <w:rFonts w:ascii="Arial Narrow" w:hAnsi="Arial Narrow" w:cs="Arial"/>
                <w:sz w:val="22"/>
                <w:szCs w:val="22"/>
              </w:rPr>
              <w:t xml:space="preserve">assessed </w:t>
            </w:r>
            <w:r w:rsidRPr="008C254C">
              <w:rPr>
                <w:rFonts w:ascii="Arial Narrow" w:hAnsi="Arial Narrow" w:cs="Arial"/>
                <w:sz w:val="22"/>
                <w:szCs w:val="22"/>
              </w:rPr>
              <w:t xml:space="preserve">in the original </w:t>
            </w:r>
            <w:r w:rsidR="00A31916" w:rsidRPr="008C254C">
              <w:rPr>
                <w:rFonts w:ascii="Arial Narrow" w:hAnsi="Arial Narrow" w:cs="Arial"/>
                <w:sz w:val="22"/>
                <w:szCs w:val="22"/>
              </w:rPr>
              <w:t>RARMP</w:t>
            </w:r>
            <w:r w:rsidRPr="008C254C">
              <w:rPr>
                <w:rFonts w:ascii="Arial Narrow" w:hAnsi="Arial Narrow" w:cs="Arial"/>
                <w:sz w:val="22"/>
                <w:szCs w:val="22"/>
              </w:rPr>
              <w:t xml:space="preserve"> </w:t>
            </w:r>
            <w:r w:rsidR="00A31916" w:rsidRPr="008C254C">
              <w:rPr>
                <w:rFonts w:ascii="Arial Narrow" w:hAnsi="Arial Narrow" w:cs="Arial"/>
                <w:sz w:val="22"/>
                <w:szCs w:val="22"/>
              </w:rPr>
              <w:t xml:space="preserve">and </w:t>
            </w:r>
            <w:r w:rsidR="008857A1" w:rsidRPr="008C254C">
              <w:rPr>
                <w:rFonts w:ascii="Arial Narrow" w:hAnsi="Arial Narrow" w:cs="Arial"/>
                <w:sz w:val="22"/>
                <w:szCs w:val="22"/>
              </w:rPr>
              <w:t xml:space="preserve">which significantly changes the scope of the licence </w:t>
            </w:r>
            <w:r w:rsidRPr="008C254C">
              <w:rPr>
                <w:rFonts w:ascii="Arial Narrow" w:hAnsi="Arial Narrow" w:cs="Arial"/>
                <w:sz w:val="22"/>
                <w:szCs w:val="22"/>
              </w:rPr>
              <w:t>(</w:t>
            </w:r>
            <w:proofErr w:type="gramStart"/>
            <w:r w:rsidRPr="008C254C">
              <w:rPr>
                <w:rFonts w:ascii="Arial Narrow" w:hAnsi="Arial Narrow" w:cs="Arial"/>
                <w:i/>
                <w:sz w:val="22"/>
                <w:szCs w:val="22"/>
              </w:rPr>
              <w:t>e.g.</w:t>
            </w:r>
            <w:proofErr w:type="gramEnd"/>
            <w:r w:rsidRPr="008C254C">
              <w:rPr>
                <w:rFonts w:ascii="Arial Narrow" w:hAnsi="Arial Narrow" w:cs="Arial"/>
                <w:sz w:val="22"/>
                <w:szCs w:val="22"/>
              </w:rPr>
              <w:t xml:space="preserve"> adding growing to an import and distribution licence; adding vaccine manufacture to a clinical trial licence)</w:t>
            </w:r>
          </w:p>
        </w:tc>
      </w:tr>
      <w:tr w:rsidR="00102672" w:rsidRPr="002A5DBD" w14:paraId="655D0AF3" w14:textId="77777777" w:rsidTr="008C254C">
        <w:trPr>
          <w:trHeight w:val="315"/>
          <w:jc w:val="center"/>
        </w:trPr>
        <w:tc>
          <w:tcPr>
            <w:tcW w:w="8167" w:type="dxa"/>
          </w:tcPr>
          <w:p w14:paraId="5C0EDA37" w14:textId="77777777" w:rsidR="00102672" w:rsidRPr="008C254C" w:rsidRDefault="00102672" w:rsidP="00915D9D">
            <w:pPr>
              <w:autoSpaceDE/>
              <w:autoSpaceDN/>
              <w:spacing w:before="60"/>
              <w:ind w:left="30"/>
              <w:rPr>
                <w:rFonts w:ascii="Arial Narrow" w:hAnsi="Arial Narrow" w:cs="Arial"/>
                <w:sz w:val="22"/>
                <w:szCs w:val="22"/>
              </w:rPr>
            </w:pPr>
            <w:r w:rsidRPr="008C254C">
              <w:rPr>
                <w:rFonts w:ascii="Arial Narrow" w:hAnsi="Arial Narrow" w:cs="Arial"/>
                <w:sz w:val="22"/>
                <w:szCs w:val="22"/>
              </w:rPr>
              <w:t xml:space="preserve">Minor to moderate increase in scale or duration relative to that </w:t>
            </w:r>
            <w:r w:rsidR="0044381A" w:rsidRPr="008C254C">
              <w:rPr>
                <w:rFonts w:ascii="Arial Narrow" w:hAnsi="Arial Narrow" w:cs="Arial"/>
                <w:sz w:val="22"/>
                <w:szCs w:val="22"/>
              </w:rPr>
              <w:t>assessed in the original</w:t>
            </w:r>
            <w:r w:rsidR="00885F8D" w:rsidRPr="008C254C">
              <w:rPr>
                <w:rFonts w:ascii="Arial Narrow" w:hAnsi="Arial Narrow" w:cs="Arial"/>
                <w:sz w:val="22"/>
                <w:szCs w:val="22"/>
              </w:rPr>
              <w:t xml:space="preserve"> </w:t>
            </w:r>
            <w:r w:rsidRPr="008C254C">
              <w:rPr>
                <w:rFonts w:ascii="Arial Narrow" w:hAnsi="Arial Narrow" w:cs="Arial"/>
                <w:sz w:val="22"/>
                <w:szCs w:val="22"/>
              </w:rPr>
              <w:t>RARMP, such as:</w:t>
            </w:r>
          </w:p>
          <w:p w14:paraId="40D66060" w14:textId="77777777" w:rsidR="00102672" w:rsidRPr="008C254C" w:rsidRDefault="00102672" w:rsidP="00915D9D">
            <w:pPr>
              <w:numPr>
                <w:ilvl w:val="0"/>
                <w:numId w:val="40"/>
              </w:numPr>
              <w:tabs>
                <w:tab w:val="clear" w:pos="587"/>
                <w:tab w:val="num" w:pos="456"/>
              </w:tabs>
              <w:autoSpaceDE/>
              <w:autoSpaceDN/>
              <w:ind w:left="456" w:hanging="284"/>
              <w:rPr>
                <w:rFonts w:ascii="Arial Narrow" w:hAnsi="Arial Narrow" w:cs="Arial"/>
                <w:sz w:val="22"/>
                <w:szCs w:val="22"/>
              </w:rPr>
            </w:pPr>
            <w:r w:rsidRPr="008C254C">
              <w:rPr>
                <w:rFonts w:ascii="Arial Narrow" w:hAnsi="Arial Narrow" w:cs="Arial"/>
                <w:sz w:val="22"/>
                <w:szCs w:val="22"/>
              </w:rPr>
              <w:t>increase in total area or number of sites in an already included local government area (LGA)</w:t>
            </w:r>
          </w:p>
          <w:p w14:paraId="7B3C0808" w14:textId="77777777" w:rsidR="00102672" w:rsidRPr="008C254C" w:rsidRDefault="00102672" w:rsidP="00915D9D">
            <w:pPr>
              <w:numPr>
                <w:ilvl w:val="0"/>
                <w:numId w:val="40"/>
              </w:numPr>
              <w:tabs>
                <w:tab w:val="clear" w:pos="587"/>
                <w:tab w:val="num" w:pos="456"/>
              </w:tabs>
              <w:autoSpaceDE/>
              <w:autoSpaceDN/>
              <w:ind w:left="456" w:hanging="284"/>
              <w:rPr>
                <w:rFonts w:ascii="Arial Narrow" w:hAnsi="Arial Narrow" w:cs="Arial"/>
                <w:sz w:val="22"/>
                <w:szCs w:val="22"/>
              </w:rPr>
            </w:pPr>
            <w:r w:rsidRPr="008C254C">
              <w:rPr>
                <w:rFonts w:ascii="Arial Narrow" w:hAnsi="Arial Narrow" w:cs="Arial"/>
                <w:sz w:val="22"/>
                <w:szCs w:val="22"/>
              </w:rPr>
              <w:t xml:space="preserve">addition of release sites in new LGA(s) in same geographic region as LGA(s) originally </w:t>
            </w:r>
            <w:proofErr w:type="gramStart"/>
            <w:r w:rsidRPr="008C254C">
              <w:rPr>
                <w:rFonts w:ascii="Arial Narrow" w:hAnsi="Arial Narrow" w:cs="Arial"/>
                <w:sz w:val="22"/>
                <w:szCs w:val="22"/>
              </w:rPr>
              <w:t>proposed</w:t>
            </w:r>
            <w:proofErr w:type="gramEnd"/>
          </w:p>
          <w:p w14:paraId="490D0DD9" w14:textId="77777777" w:rsidR="00102672" w:rsidRPr="008C254C" w:rsidRDefault="00102672" w:rsidP="006F23EE">
            <w:pPr>
              <w:numPr>
                <w:ilvl w:val="0"/>
                <w:numId w:val="40"/>
              </w:numPr>
              <w:tabs>
                <w:tab w:val="clear" w:pos="587"/>
                <w:tab w:val="num" w:pos="456"/>
              </w:tabs>
              <w:spacing w:after="40"/>
              <w:ind w:left="454" w:hanging="284"/>
              <w:rPr>
                <w:rFonts w:ascii="Arial Narrow" w:hAnsi="Arial Narrow" w:cs="Arial"/>
                <w:sz w:val="22"/>
                <w:szCs w:val="22"/>
              </w:rPr>
            </w:pPr>
            <w:r w:rsidRPr="008C254C">
              <w:rPr>
                <w:rFonts w:ascii="Arial Narrow" w:hAnsi="Arial Narrow" w:cs="Arial"/>
                <w:sz w:val="22"/>
                <w:szCs w:val="22"/>
              </w:rPr>
              <w:t>one or two additional growing seasons/years, taking the total duration into consideration</w:t>
            </w:r>
          </w:p>
        </w:tc>
        <w:tc>
          <w:tcPr>
            <w:tcW w:w="6919" w:type="dxa"/>
            <w:vMerge/>
            <w:vAlign w:val="center"/>
          </w:tcPr>
          <w:p w14:paraId="14D909E3" w14:textId="77777777" w:rsidR="00102672" w:rsidRPr="008C254C" w:rsidRDefault="00102672" w:rsidP="000D6D78">
            <w:pPr>
              <w:autoSpaceDE/>
              <w:autoSpaceDN/>
              <w:spacing w:before="60" w:after="60"/>
              <w:ind w:left="28"/>
              <w:rPr>
                <w:rFonts w:ascii="Arial Narrow" w:hAnsi="Arial Narrow" w:cs="Arial"/>
                <w:sz w:val="22"/>
                <w:szCs w:val="22"/>
              </w:rPr>
            </w:pPr>
          </w:p>
        </w:tc>
      </w:tr>
      <w:tr w:rsidR="008C254C" w:rsidRPr="002A5DBD" w14:paraId="3AC03AB9" w14:textId="77777777" w:rsidTr="008C254C">
        <w:trPr>
          <w:trHeight w:val="1781"/>
          <w:jc w:val="center"/>
        </w:trPr>
        <w:tc>
          <w:tcPr>
            <w:tcW w:w="8167" w:type="dxa"/>
          </w:tcPr>
          <w:p w14:paraId="3D7A030A" w14:textId="77777777" w:rsidR="008C254C" w:rsidRPr="008C254C" w:rsidRDefault="008C254C" w:rsidP="008C254C">
            <w:pPr>
              <w:autoSpaceDE/>
              <w:autoSpaceDN/>
              <w:spacing w:before="60"/>
              <w:ind w:left="28"/>
              <w:rPr>
                <w:rFonts w:ascii="Arial Narrow" w:hAnsi="Arial Narrow" w:cs="Arial"/>
                <w:sz w:val="22"/>
                <w:szCs w:val="22"/>
              </w:rPr>
            </w:pPr>
            <w:r w:rsidRPr="008C254C">
              <w:rPr>
                <w:rFonts w:ascii="Arial Narrow" w:hAnsi="Arial Narrow" w:cs="Arial"/>
                <w:sz w:val="22"/>
                <w:szCs w:val="22"/>
              </w:rPr>
              <w:t>For limited and controlled release licences</w:t>
            </w:r>
            <w:r w:rsidRPr="008C254C">
              <w:rPr>
                <w:rFonts w:ascii="Arial Narrow" w:hAnsi="Arial Narrow" w:cs="Arial"/>
                <w:b/>
                <w:sz w:val="22"/>
                <w:szCs w:val="22"/>
              </w:rPr>
              <w:t xml:space="preserve"> </w:t>
            </w:r>
            <w:r w:rsidRPr="008C254C">
              <w:rPr>
                <w:rFonts w:ascii="Arial Narrow" w:hAnsi="Arial Narrow" w:cs="Arial"/>
                <w:sz w:val="22"/>
                <w:szCs w:val="22"/>
              </w:rPr>
              <w:t>only, additional GMOs of the same species containing transformation events derived from modifications with:</w:t>
            </w:r>
          </w:p>
          <w:p w14:paraId="0CD36CA7" w14:textId="77777777" w:rsidR="008C254C" w:rsidRPr="008C254C" w:rsidRDefault="008C254C" w:rsidP="008C254C">
            <w:pPr>
              <w:numPr>
                <w:ilvl w:val="0"/>
                <w:numId w:val="40"/>
              </w:numPr>
              <w:tabs>
                <w:tab w:val="clear" w:pos="587"/>
                <w:tab w:val="num" w:pos="456"/>
              </w:tabs>
              <w:autoSpaceDE/>
              <w:autoSpaceDN/>
              <w:ind w:left="456" w:hanging="284"/>
              <w:rPr>
                <w:rFonts w:ascii="Arial Narrow" w:hAnsi="Arial Narrow" w:cs="Arial"/>
                <w:sz w:val="22"/>
                <w:szCs w:val="22"/>
              </w:rPr>
            </w:pPr>
            <w:r w:rsidRPr="008C254C">
              <w:rPr>
                <w:rFonts w:ascii="Arial Narrow" w:hAnsi="Arial Narrow" w:cs="Arial"/>
                <w:sz w:val="22"/>
                <w:szCs w:val="22"/>
              </w:rPr>
              <w:t xml:space="preserve">the same gene(s) but with new promoters or other regulatory elements </w:t>
            </w:r>
          </w:p>
          <w:p w14:paraId="25FC0A3A" w14:textId="77777777" w:rsidR="008C254C" w:rsidRPr="008C254C" w:rsidRDefault="008C254C" w:rsidP="008C254C">
            <w:pPr>
              <w:numPr>
                <w:ilvl w:val="0"/>
                <w:numId w:val="40"/>
              </w:numPr>
              <w:tabs>
                <w:tab w:val="clear" w:pos="587"/>
                <w:tab w:val="num" w:pos="456"/>
              </w:tabs>
              <w:autoSpaceDE/>
              <w:autoSpaceDN/>
              <w:ind w:left="456" w:hanging="284"/>
              <w:rPr>
                <w:rFonts w:ascii="Arial Narrow" w:hAnsi="Arial Narrow" w:cs="Arial"/>
                <w:sz w:val="22"/>
                <w:szCs w:val="22"/>
              </w:rPr>
            </w:pPr>
            <w:r w:rsidRPr="008C254C">
              <w:rPr>
                <w:rFonts w:ascii="Arial Narrow" w:hAnsi="Arial Narrow" w:cs="Arial"/>
                <w:sz w:val="22"/>
                <w:szCs w:val="22"/>
              </w:rPr>
              <w:t>genes homologous to those assessed in the original RARMP (</w:t>
            </w:r>
            <w:proofErr w:type="gramStart"/>
            <w:r w:rsidRPr="008C254C">
              <w:rPr>
                <w:rFonts w:ascii="Arial Narrow" w:hAnsi="Arial Narrow" w:cs="Arial"/>
                <w:i/>
                <w:sz w:val="22"/>
                <w:szCs w:val="22"/>
              </w:rPr>
              <w:t>e.g.</w:t>
            </w:r>
            <w:proofErr w:type="gramEnd"/>
            <w:r w:rsidRPr="008C254C">
              <w:rPr>
                <w:rFonts w:ascii="Arial Narrow" w:hAnsi="Arial Narrow" w:cs="Arial"/>
                <w:sz w:val="22"/>
                <w:szCs w:val="22"/>
              </w:rPr>
              <w:t xml:space="preserve"> gene with identical function derived from a different source organism)</w:t>
            </w:r>
          </w:p>
          <w:p w14:paraId="51211874" w14:textId="77777777" w:rsidR="008C254C" w:rsidRPr="008C254C" w:rsidRDefault="008C254C" w:rsidP="008C254C">
            <w:pPr>
              <w:numPr>
                <w:ilvl w:val="0"/>
                <w:numId w:val="40"/>
              </w:numPr>
              <w:tabs>
                <w:tab w:val="clear" w:pos="587"/>
                <w:tab w:val="num" w:pos="456"/>
              </w:tabs>
              <w:autoSpaceDE/>
              <w:autoSpaceDN/>
              <w:spacing w:after="40"/>
              <w:ind w:left="454" w:hanging="284"/>
              <w:rPr>
                <w:rFonts w:ascii="Arial Narrow" w:hAnsi="Arial Narrow" w:cs="Arial"/>
                <w:sz w:val="22"/>
                <w:szCs w:val="22"/>
              </w:rPr>
            </w:pPr>
            <w:r w:rsidRPr="008C254C">
              <w:rPr>
                <w:rFonts w:ascii="Arial Narrow" w:hAnsi="Arial Narrow" w:cs="Arial"/>
                <w:sz w:val="22"/>
                <w:szCs w:val="22"/>
              </w:rPr>
              <w:t>genes of similar functionality (</w:t>
            </w:r>
            <w:proofErr w:type="gramStart"/>
            <w:r w:rsidRPr="008C254C">
              <w:rPr>
                <w:rFonts w:ascii="Arial Narrow" w:hAnsi="Arial Narrow" w:cs="Arial"/>
                <w:i/>
                <w:sz w:val="22"/>
                <w:szCs w:val="22"/>
              </w:rPr>
              <w:t>i.e.</w:t>
            </w:r>
            <w:proofErr w:type="gramEnd"/>
            <w:r w:rsidRPr="008C254C">
              <w:rPr>
                <w:rFonts w:ascii="Arial Narrow" w:hAnsi="Arial Narrow" w:cs="Arial"/>
                <w:sz w:val="22"/>
                <w:szCs w:val="22"/>
              </w:rPr>
              <w:t xml:space="preserve"> affecting the same pathway and producing same desired trait) as those assessed in the original RARMP</w:t>
            </w:r>
          </w:p>
          <w:p w14:paraId="7DB3FB9E" w14:textId="77777777" w:rsidR="008C254C" w:rsidRPr="008C254C" w:rsidRDefault="008C254C" w:rsidP="008C254C">
            <w:pPr>
              <w:numPr>
                <w:ilvl w:val="0"/>
                <w:numId w:val="40"/>
              </w:numPr>
              <w:tabs>
                <w:tab w:val="clear" w:pos="587"/>
                <w:tab w:val="num" w:pos="456"/>
              </w:tabs>
              <w:autoSpaceDE/>
              <w:autoSpaceDN/>
              <w:spacing w:after="40"/>
              <w:ind w:left="454" w:hanging="284"/>
              <w:rPr>
                <w:rFonts w:ascii="Arial Narrow" w:hAnsi="Arial Narrow" w:cs="Arial"/>
                <w:sz w:val="22"/>
                <w:szCs w:val="22"/>
              </w:rPr>
            </w:pPr>
            <w:r w:rsidRPr="008C254C">
              <w:rPr>
                <w:rFonts w:ascii="Arial Narrow" w:hAnsi="Arial Narrow" w:cs="Arial"/>
                <w:sz w:val="22"/>
                <w:szCs w:val="22"/>
              </w:rPr>
              <w:t>genes producing the same trait as those assessed in the original RARMP and which have been assessed in a relevant RARMP</w:t>
            </w:r>
          </w:p>
        </w:tc>
        <w:tc>
          <w:tcPr>
            <w:tcW w:w="6919" w:type="dxa"/>
            <w:vMerge w:val="restart"/>
          </w:tcPr>
          <w:p w14:paraId="7CC8E8A9" w14:textId="77777777" w:rsidR="008C254C" w:rsidRPr="008C254C" w:rsidRDefault="008C254C" w:rsidP="000D6D78">
            <w:pPr>
              <w:autoSpaceDE/>
              <w:autoSpaceDN/>
              <w:spacing w:before="60" w:after="60"/>
              <w:ind w:left="28"/>
              <w:rPr>
                <w:rFonts w:ascii="Arial Narrow" w:hAnsi="Arial Narrow" w:cs="Arial"/>
                <w:sz w:val="22"/>
                <w:szCs w:val="22"/>
              </w:rPr>
            </w:pPr>
            <w:r w:rsidRPr="008C254C">
              <w:rPr>
                <w:rFonts w:ascii="Arial Narrow" w:hAnsi="Arial Narrow" w:cs="Arial"/>
                <w:sz w:val="22"/>
                <w:szCs w:val="22"/>
              </w:rPr>
              <w:t>Major increase in scale or duration relative to that assessed in the original RARMP, such as:</w:t>
            </w:r>
          </w:p>
          <w:p w14:paraId="42929CCC" w14:textId="77777777" w:rsidR="008C254C" w:rsidRPr="008C254C" w:rsidRDefault="008C254C" w:rsidP="00915D9D">
            <w:pPr>
              <w:numPr>
                <w:ilvl w:val="0"/>
                <w:numId w:val="40"/>
              </w:numPr>
              <w:tabs>
                <w:tab w:val="clear" w:pos="587"/>
                <w:tab w:val="num" w:pos="456"/>
              </w:tabs>
              <w:autoSpaceDE/>
              <w:autoSpaceDN/>
              <w:ind w:left="456" w:hanging="284"/>
              <w:rPr>
                <w:rFonts w:ascii="Arial Narrow" w:hAnsi="Arial Narrow" w:cs="Arial"/>
                <w:sz w:val="22"/>
                <w:szCs w:val="22"/>
              </w:rPr>
            </w:pPr>
            <w:r w:rsidRPr="008C254C">
              <w:rPr>
                <w:rFonts w:ascii="Arial Narrow" w:hAnsi="Arial Narrow" w:cs="Arial"/>
                <w:sz w:val="22"/>
                <w:szCs w:val="22"/>
              </w:rPr>
              <w:t>large increase in total area, number of sites or number of LGA(s)</w:t>
            </w:r>
          </w:p>
          <w:p w14:paraId="0D960C43" w14:textId="77777777" w:rsidR="008C254C" w:rsidRPr="008C254C" w:rsidRDefault="008C254C" w:rsidP="00915D9D">
            <w:pPr>
              <w:numPr>
                <w:ilvl w:val="0"/>
                <w:numId w:val="40"/>
              </w:numPr>
              <w:tabs>
                <w:tab w:val="clear" w:pos="587"/>
                <w:tab w:val="num" w:pos="456"/>
              </w:tabs>
              <w:autoSpaceDE/>
              <w:autoSpaceDN/>
              <w:ind w:left="456" w:hanging="284"/>
              <w:rPr>
                <w:rFonts w:ascii="Arial Narrow" w:hAnsi="Arial Narrow" w:cs="Arial"/>
                <w:sz w:val="22"/>
                <w:szCs w:val="22"/>
              </w:rPr>
            </w:pPr>
            <w:r w:rsidRPr="008C254C">
              <w:rPr>
                <w:rFonts w:ascii="Arial Narrow" w:hAnsi="Arial Narrow" w:cs="Arial"/>
                <w:sz w:val="22"/>
                <w:szCs w:val="22"/>
              </w:rPr>
              <w:t>addition of release sites in a region not originally proposed or considered in a relevant RARMP (</w:t>
            </w:r>
            <w:proofErr w:type="gramStart"/>
            <w:r w:rsidRPr="008C254C">
              <w:rPr>
                <w:rFonts w:ascii="Arial Narrow" w:hAnsi="Arial Narrow" w:cs="Arial"/>
                <w:i/>
                <w:sz w:val="22"/>
                <w:szCs w:val="22"/>
              </w:rPr>
              <w:t>e.g.</w:t>
            </w:r>
            <w:proofErr w:type="gramEnd"/>
            <w:r w:rsidRPr="008C254C">
              <w:rPr>
                <w:rFonts w:ascii="Arial Narrow" w:hAnsi="Arial Narrow" w:cs="Arial"/>
                <w:sz w:val="22"/>
                <w:szCs w:val="22"/>
              </w:rPr>
              <w:t xml:space="preserve"> Southern WA</w:t>
            </w:r>
            <w:r w:rsidRPr="008C254C">
              <w:rPr>
                <w:rFonts w:ascii="Arial Narrow" w:hAnsi="Arial Narrow" w:cs="Arial"/>
                <w:sz w:val="22"/>
                <w:szCs w:val="22"/>
              </w:rPr>
              <w:sym w:font="Symbol" w:char="F0AE"/>
            </w:r>
            <w:r w:rsidRPr="008C254C">
              <w:rPr>
                <w:rFonts w:ascii="Arial Narrow" w:hAnsi="Arial Narrow" w:cs="Arial"/>
                <w:sz w:val="22"/>
                <w:szCs w:val="22"/>
              </w:rPr>
              <w:t xml:space="preserve"> Central Vic; Southern Qld </w:t>
            </w:r>
            <w:r w:rsidRPr="008C254C">
              <w:rPr>
                <w:rFonts w:ascii="Arial Narrow" w:hAnsi="Arial Narrow" w:cs="Arial"/>
                <w:sz w:val="22"/>
                <w:szCs w:val="22"/>
              </w:rPr>
              <w:sym w:font="Symbol" w:char="F0AE"/>
            </w:r>
            <w:r w:rsidRPr="008C254C">
              <w:rPr>
                <w:rFonts w:ascii="Arial Narrow" w:hAnsi="Arial Narrow" w:cs="Arial"/>
                <w:sz w:val="22"/>
                <w:szCs w:val="22"/>
              </w:rPr>
              <w:t xml:space="preserve"> North Qld)</w:t>
            </w:r>
          </w:p>
          <w:p w14:paraId="50612B20" w14:textId="77777777" w:rsidR="008C254C" w:rsidRPr="008C254C" w:rsidRDefault="008C254C" w:rsidP="005221F0">
            <w:pPr>
              <w:numPr>
                <w:ilvl w:val="0"/>
                <w:numId w:val="40"/>
              </w:numPr>
              <w:tabs>
                <w:tab w:val="num" w:pos="456"/>
              </w:tabs>
              <w:autoSpaceDE/>
              <w:autoSpaceDN/>
              <w:ind w:left="456" w:hanging="284"/>
              <w:rPr>
                <w:rFonts w:ascii="Arial Narrow" w:hAnsi="Arial Narrow" w:cs="Arial"/>
                <w:sz w:val="22"/>
                <w:szCs w:val="22"/>
              </w:rPr>
            </w:pPr>
            <w:r w:rsidRPr="008C254C">
              <w:rPr>
                <w:rFonts w:ascii="Arial Narrow" w:hAnsi="Arial Narrow" w:cs="Arial"/>
                <w:sz w:val="22"/>
                <w:szCs w:val="22"/>
              </w:rPr>
              <w:t>large increase in duration, or long total duration</w:t>
            </w:r>
          </w:p>
        </w:tc>
      </w:tr>
      <w:tr w:rsidR="008C254C" w:rsidRPr="002A5DBD" w14:paraId="06BFCFA5" w14:textId="77777777" w:rsidTr="00CD56ED">
        <w:trPr>
          <w:jc w:val="center"/>
        </w:trPr>
        <w:tc>
          <w:tcPr>
            <w:tcW w:w="8167" w:type="dxa"/>
          </w:tcPr>
          <w:p w14:paraId="7B99ABB6" w14:textId="5E2EB345" w:rsidR="008C254C" w:rsidRPr="00B607FF" w:rsidRDefault="008C254C" w:rsidP="005B5A2F">
            <w:pPr>
              <w:autoSpaceDE/>
              <w:autoSpaceDN/>
              <w:spacing w:before="60" w:after="60"/>
              <w:rPr>
                <w:rFonts w:ascii="Arial Narrow" w:hAnsi="Arial Narrow" w:cs="Arial"/>
                <w:b/>
                <w:bCs/>
                <w:sz w:val="22"/>
                <w:szCs w:val="22"/>
              </w:rPr>
            </w:pPr>
            <w:r w:rsidRPr="008C254C">
              <w:rPr>
                <w:rFonts w:ascii="Arial Narrow" w:hAnsi="Arial Narrow" w:cs="Arial"/>
                <w:sz w:val="22"/>
                <w:szCs w:val="22"/>
              </w:rPr>
              <w:t xml:space="preserve">Combining traits from two or more plant GMOs which have been approved under separate licences by conventional breeding (commonly referred to as ‘stacking’) if one of the risk assessments for the parental GMOs considered the potential for stacking. See also separate paper </w:t>
            </w:r>
            <w:r w:rsidR="00B607FF">
              <w:rPr>
                <w:rFonts w:ascii="Arial Narrow" w:hAnsi="Arial Narrow" w:cs="Arial"/>
                <w:sz w:val="22"/>
                <w:szCs w:val="22"/>
              </w:rPr>
              <w:t>(</w:t>
            </w:r>
            <w:hyperlink r:id="rId15" w:history="1">
              <w:r w:rsidRPr="00B607FF">
                <w:rPr>
                  <w:rStyle w:val="Hyperlink"/>
                  <w:rFonts w:ascii="Arial Narrow" w:hAnsi="Arial Narrow" w:cs="Arial"/>
                  <w:i/>
                  <w:color w:val="0000FF"/>
                  <w:sz w:val="22"/>
                  <w:szCs w:val="22"/>
                </w:rPr>
                <w:t>Policy on licensing of GM plants with stacked genetic modifications</w:t>
              </w:r>
            </w:hyperlink>
            <w:r w:rsidR="00B607FF">
              <w:rPr>
                <w:rStyle w:val="Hyperlink"/>
                <w:rFonts w:ascii="Arial Narrow" w:hAnsi="Arial Narrow" w:cs="Arial"/>
                <w:i/>
                <w:color w:val="auto"/>
                <w:sz w:val="22"/>
                <w:szCs w:val="22"/>
              </w:rPr>
              <w:t>)</w:t>
            </w:r>
          </w:p>
        </w:tc>
        <w:tc>
          <w:tcPr>
            <w:tcW w:w="6919" w:type="dxa"/>
            <w:vMerge/>
          </w:tcPr>
          <w:p w14:paraId="515D6385" w14:textId="77777777" w:rsidR="008C254C" w:rsidRPr="004C28BC" w:rsidRDefault="008C254C" w:rsidP="001A6E5F">
            <w:pPr>
              <w:autoSpaceDE/>
              <w:autoSpaceDN/>
              <w:spacing w:before="60" w:after="60"/>
              <w:ind w:left="28"/>
              <w:rPr>
                <w:rFonts w:ascii="Arial Narrow" w:hAnsi="Arial Narrow" w:cs="Arial"/>
                <w:sz w:val="22"/>
                <w:szCs w:val="22"/>
              </w:rPr>
            </w:pPr>
          </w:p>
        </w:tc>
      </w:tr>
    </w:tbl>
    <w:p w14:paraId="078D96C1" w14:textId="77777777" w:rsidR="005058B3" w:rsidRPr="002A5DBD" w:rsidRDefault="005554B0" w:rsidP="00102672">
      <w:pPr>
        <w:pStyle w:val="Heading1"/>
        <w:spacing w:after="180"/>
        <w:jc w:val="center"/>
        <w:rPr>
          <w:rFonts w:ascii="Arial" w:hAnsi="Arial" w:cs="Arial"/>
        </w:rPr>
      </w:pPr>
      <w:r w:rsidRPr="002A5DBD">
        <w:rPr>
          <w:rFonts w:ascii="Arial" w:hAnsi="Arial" w:cs="Arial"/>
        </w:rPr>
        <w:lastRenderedPageBreak/>
        <w:t xml:space="preserve">Guidance on </w:t>
      </w:r>
      <w:r w:rsidR="00F95E19" w:rsidRPr="002A5DBD">
        <w:rPr>
          <w:rFonts w:ascii="Arial" w:hAnsi="Arial" w:cs="Arial"/>
        </w:rPr>
        <w:t xml:space="preserve">scope for variation of </w:t>
      </w:r>
      <w:r w:rsidR="00A91211" w:rsidRPr="002A5DBD">
        <w:rPr>
          <w:rFonts w:ascii="Arial" w:hAnsi="Arial" w:cs="Arial"/>
        </w:rPr>
        <w:t>DNIR licences (work with GMOs in</w:t>
      </w:r>
      <w:r w:rsidR="00F95E19" w:rsidRPr="002A5DBD">
        <w:rPr>
          <w:rFonts w:ascii="Arial" w:hAnsi="Arial" w:cs="Arial"/>
        </w:rPr>
        <w:t xml:space="preserve"> contained</w:t>
      </w:r>
      <w:r w:rsidR="00A91211" w:rsidRPr="002A5DBD">
        <w:rPr>
          <w:rFonts w:ascii="Arial" w:hAnsi="Arial" w:cs="Arial"/>
        </w:rPr>
        <w:t xml:space="preserve"> facilities</w:t>
      </w:r>
      <w:r w:rsidR="00F95E19" w:rsidRPr="002A5DBD">
        <w:rPr>
          <w:rFonts w:ascii="Arial" w:hAnsi="Arial" w:cs="Arial"/>
        </w:rPr>
        <w:t>)</w:t>
      </w:r>
    </w:p>
    <w:tbl>
      <w:tblPr>
        <w:tblW w:w="1509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56" w:type="dxa"/>
          <w:right w:w="56" w:type="dxa"/>
        </w:tblCellMar>
        <w:tblLook w:val="0000" w:firstRow="0" w:lastRow="0" w:firstColumn="0" w:lastColumn="0" w:noHBand="0" w:noVBand="0"/>
      </w:tblPr>
      <w:tblGrid>
        <w:gridCol w:w="7546"/>
        <w:gridCol w:w="7546"/>
      </w:tblGrid>
      <w:tr w:rsidR="002A5DBD" w:rsidRPr="002A5DBD" w14:paraId="157A5523" w14:textId="77777777" w:rsidTr="008D3AC0">
        <w:trPr>
          <w:jc w:val="center"/>
        </w:trPr>
        <w:tc>
          <w:tcPr>
            <w:tcW w:w="7546" w:type="dxa"/>
            <w:tcBorders>
              <w:top w:val="single" w:sz="12" w:space="0" w:color="auto"/>
              <w:bottom w:val="single" w:sz="12" w:space="0" w:color="auto"/>
            </w:tcBorders>
          </w:tcPr>
          <w:p w14:paraId="5DDD2B39" w14:textId="77777777" w:rsidR="000D6D78" w:rsidRPr="002A5DBD" w:rsidRDefault="000D6D78" w:rsidP="007F6FE0">
            <w:pPr>
              <w:spacing w:before="60" w:after="60"/>
              <w:ind w:right="34"/>
              <w:jc w:val="center"/>
              <w:rPr>
                <w:rFonts w:ascii="Arial Narrow" w:hAnsi="Arial Narrow" w:cs="Arial"/>
                <w:b/>
                <w:bCs/>
                <w:sz w:val="26"/>
                <w:szCs w:val="26"/>
              </w:rPr>
            </w:pPr>
            <w:r w:rsidRPr="002A5DBD">
              <w:rPr>
                <w:rFonts w:ascii="Arial Narrow" w:hAnsi="Arial Narrow" w:cs="Arial"/>
                <w:b/>
                <w:bCs/>
                <w:sz w:val="26"/>
                <w:szCs w:val="26"/>
              </w:rPr>
              <w:t xml:space="preserve">Changes likely to be accepted as a </w:t>
            </w:r>
            <w:proofErr w:type="gramStart"/>
            <w:r w:rsidRPr="002A5DBD">
              <w:rPr>
                <w:rFonts w:ascii="Arial Narrow" w:hAnsi="Arial Narrow" w:cs="Arial"/>
                <w:b/>
                <w:bCs/>
                <w:sz w:val="26"/>
                <w:szCs w:val="26"/>
              </w:rPr>
              <w:t>variation</w:t>
            </w:r>
            <w:proofErr w:type="gramEnd"/>
          </w:p>
          <w:p w14:paraId="08D023FE" w14:textId="77777777" w:rsidR="000D6D78" w:rsidRPr="002A5DBD" w:rsidRDefault="000D6D78" w:rsidP="007279CE">
            <w:pPr>
              <w:spacing w:before="60" w:after="60"/>
              <w:ind w:left="317" w:right="313"/>
              <w:rPr>
                <w:rFonts w:ascii="Arial Narrow" w:hAnsi="Arial Narrow" w:cs="Arial"/>
                <w:b/>
                <w:bCs/>
                <w:szCs w:val="20"/>
              </w:rPr>
            </w:pPr>
            <w:r w:rsidRPr="002A5DBD">
              <w:rPr>
                <w:rFonts w:ascii="Arial Narrow" w:hAnsi="Arial Narrow" w:cs="Arial"/>
                <w:b/>
                <w:bCs/>
                <w:sz w:val="20"/>
                <w:szCs w:val="20"/>
              </w:rPr>
              <w:t xml:space="preserve">The following types of changes are likely to be authorised by variation of an existing DNIR licence, as they are unlikely to give rise to risks that were not </w:t>
            </w:r>
            <w:r w:rsidR="00AB6630">
              <w:rPr>
                <w:rFonts w:ascii="Arial Narrow" w:hAnsi="Arial Narrow" w:cs="Arial"/>
                <w:b/>
                <w:bCs/>
                <w:sz w:val="20"/>
                <w:szCs w:val="20"/>
              </w:rPr>
              <w:t>assessed</w:t>
            </w:r>
            <w:r w:rsidR="00AB6630" w:rsidRPr="002A5DBD">
              <w:rPr>
                <w:rFonts w:ascii="Arial Narrow" w:hAnsi="Arial Narrow" w:cs="Arial"/>
                <w:b/>
                <w:bCs/>
                <w:sz w:val="20"/>
                <w:szCs w:val="20"/>
              </w:rPr>
              <w:t xml:space="preserve"> </w:t>
            </w:r>
            <w:r w:rsidRPr="002A5DBD">
              <w:rPr>
                <w:rFonts w:ascii="Arial Narrow" w:hAnsi="Arial Narrow" w:cs="Arial"/>
                <w:b/>
                <w:bCs/>
                <w:sz w:val="20"/>
                <w:szCs w:val="20"/>
              </w:rPr>
              <w:t>in</w:t>
            </w:r>
            <w:r w:rsidR="00CE46A3">
              <w:rPr>
                <w:rFonts w:ascii="Arial Narrow" w:hAnsi="Arial Narrow" w:cs="Arial"/>
                <w:b/>
                <w:bCs/>
                <w:sz w:val="20"/>
                <w:szCs w:val="20"/>
              </w:rPr>
              <w:t xml:space="preserve"> </w:t>
            </w:r>
            <w:r w:rsidR="007279CE">
              <w:rPr>
                <w:rFonts w:ascii="Arial Narrow" w:hAnsi="Arial Narrow" w:cs="Arial"/>
                <w:b/>
                <w:bCs/>
                <w:sz w:val="20"/>
                <w:szCs w:val="20"/>
              </w:rPr>
              <w:t>a relevant RARMP</w:t>
            </w:r>
            <w:r w:rsidRPr="002A5DBD">
              <w:rPr>
                <w:rFonts w:ascii="Arial Narrow" w:hAnsi="Arial Narrow" w:cs="Arial"/>
                <w:b/>
                <w:bCs/>
                <w:sz w:val="22"/>
                <w:szCs w:val="20"/>
              </w:rPr>
              <w:t>.</w:t>
            </w:r>
          </w:p>
        </w:tc>
        <w:tc>
          <w:tcPr>
            <w:tcW w:w="7546" w:type="dxa"/>
            <w:tcBorders>
              <w:top w:val="single" w:sz="12" w:space="0" w:color="auto"/>
              <w:bottom w:val="single" w:sz="12" w:space="0" w:color="auto"/>
            </w:tcBorders>
          </w:tcPr>
          <w:p w14:paraId="34018B89" w14:textId="77777777" w:rsidR="000D6D78" w:rsidRPr="002A5DBD" w:rsidRDefault="000D6D78" w:rsidP="007F6FE0">
            <w:pPr>
              <w:spacing w:before="60" w:after="60"/>
              <w:ind w:right="34"/>
              <w:jc w:val="center"/>
              <w:rPr>
                <w:rFonts w:ascii="Arial Narrow" w:hAnsi="Arial Narrow" w:cs="Arial"/>
                <w:b/>
                <w:bCs/>
                <w:sz w:val="26"/>
                <w:szCs w:val="26"/>
              </w:rPr>
            </w:pPr>
            <w:r w:rsidRPr="002A5DBD">
              <w:rPr>
                <w:rFonts w:ascii="Arial Narrow" w:hAnsi="Arial Narrow" w:cs="Arial"/>
                <w:b/>
                <w:bCs/>
                <w:sz w:val="26"/>
                <w:szCs w:val="26"/>
              </w:rPr>
              <w:t xml:space="preserve">Changes unlikely to be accepted as a </w:t>
            </w:r>
            <w:proofErr w:type="gramStart"/>
            <w:r w:rsidRPr="002A5DBD">
              <w:rPr>
                <w:rFonts w:ascii="Arial Narrow" w:hAnsi="Arial Narrow" w:cs="Arial"/>
                <w:b/>
                <w:bCs/>
                <w:sz w:val="26"/>
                <w:szCs w:val="26"/>
              </w:rPr>
              <w:t>variation</w:t>
            </w:r>
            <w:proofErr w:type="gramEnd"/>
          </w:p>
          <w:p w14:paraId="3A52CC74" w14:textId="77777777" w:rsidR="000D6D78" w:rsidRPr="002A5DBD" w:rsidRDefault="000D6D78" w:rsidP="007279CE">
            <w:pPr>
              <w:spacing w:before="60" w:after="60"/>
              <w:ind w:left="317" w:right="313"/>
              <w:rPr>
                <w:rFonts w:ascii="Arial Narrow" w:hAnsi="Arial Narrow" w:cs="Arial"/>
                <w:b/>
                <w:bCs/>
                <w:szCs w:val="20"/>
              </w:rPr>
            </w:pPr>
            <w:r w:rsidRPr="002A5DBD">
              <w:rPr>
                <w:rFonts w:ascii="Arial Narrow" w:hAnsi="Arial Narrow" w:cs="Arial"/>
                <w:b/>
                <w:bCs/>
                <w:sz w:val="20"/>
                <w:szCs w:val="20"/>
              </w:rPr>
              <w:t xml:space="preserve">The following types of changes are unlikely to be authorised by variation of an existing DNIR licence as they may give rise to additional risks not </w:t>
            </w:r>
            <w:r w:rsidR="00AB6630">
              <w:rPr>
                <w:rFonts w:ascii="Arial Narrow" w:hAnsi="Arial Narrow" w:cs="Arial"/>
                <w:b/>
                <w:bCs/>
                <w:sz w:val="20"/>
                <w:szCs w:val="20"/>
              </w:rPr>
              <w:t>assessed</w:t>
            </w:r>
            <w:r w:rsidR="00AB6630" w:rsidRPr="002A5DBD">
              <w:rPr>
                <w:rFonts w:ascii="Arial Narrow" w:hAnsi="Arial Narrow" w:cs="Arial"/>
                <w:b/>
                <w:bCs/>
                <w:sz w:val="20"/>
                <w:szCs w:val="20"/>
              </w:rPr>
              <w:t xml:space="preserve"> </w:t>
            </w:r>
            <w:proofErr w:type="gramStart"/>
            <w:r w:rsidRPr="002A5DBD">
              <w:rPr>
                <w:rFonts w:ascii="Arial Narrow" w:hAnsi="Arial Narrow" w:cs="Arial"/>
                <w:b/>
                <w:bCs/>
                <w:sz w:val="20"/>
                <w:szCs w:val="20"/>
              </w:rPr>
              <w:t xml:space="preserve">in </w:t>
            </w:r>
            <w:r w:rsidR="007279CE">
              <w:rPr>
                <w:rFonts w:ascii="Arial Narrow" w:hAnsi="Arial Narrow" w:cs="Arial"/>
                <w:b/>
                <w:bCs/>
                <w:sz w:val="20"/>
                <w:szCs w:val="20"/>
              </w:rPr>
              <w:t xml:space="preserve"> a</w:t>
            </w:r>
            <w:proofErr w:type="gramEnd"/>
            <w:r w:rsidR="007279CE">
              <w:rPr>
                <w:rFonts w:ascii="Arial Narrow" w:hAnsi="Arial Narrow" w:cs="Arial"/>
                <w:b/>
                <w:bCs/>
                <w:sz w:val="20"/>
                <w:szCs w:val="20"/>
              </w:rPr>
              <w:t xml:space="preserve"> relevant RARMP</w:t>
            </w:r>
            <w:r w:rsidRPr="002A5DBD">
              <w:rPr>
                <w:rFonts w:ascii="Arial Narrow" w:hAnsi="Arial Narrow" w:cs="Arial"/>
                <w:b/>
                <w:bCs/>
                <w:sz w:val="20"/>
                <w:szCs w:val="20"/>
              </w:rPr>
              <w:t>. A new DNIR licence application may be needed.</w:t>
            </w:r>
          </w:p>
        </w:tc>
      </w:tr>
      <w:tr w:rsidR="00684D70" w:rsidRPr="002A5DBD" w14:paraId="20DA23CD" w14:textId="77777777" w:rsidTr="008D3AC0">
        <w:trPr>
          <w:trHeight w:val="338"/>
          <w:jc w:val="center"/>
        </w:trPr>
        <w:tc>
          <w:tcPr>
            <w:tcW w:w="7546" w:type="dxa"/>
            <w:tcBorders>
              <w:top w:val="single" w:sz="12" w:space="0" w:color="auto"/>
              <w:bottom w:val="single" w:sz="4" w:space="0" w:color="auto"/>
            </w:tcBorders>
          </w:tcPr>
          <w:p w14:paraId="1120CEC6" w14:textId="77777777" w:rsidR="00684D70" w:rsidRPr="00F8700A" w:rsidRDefault="00684D70" w:rsidP="00CB141A">
            <w:pPr>
              <w:autoSpaceDE/>
              <w:autoSpaceDN/>
              <w:spacing w:before="60" w:after="60"/>
              <w:ind w:left="28"/>
              <w:rPr>
                <w:rFonts w:ascii="Arial Narrow" w:hAnsi="Arial Narrow" w:cs="Arial"/>
                <w:sz w:val="22"/>
                <w:szCs w:val="22"/>
              </w:rPr>
            </w:pPr>
            <w:r w:rsidRPr="00F8700A">
              <w:rPr>
                <w:rFonts w:ascii="Arial Narrow" w:hAnsi="Arial Narrow" w:cs="Arial"/>
                <w:sz w:val="22"/>
                <w:szCs w:val="22"/>
              </w:rPr>
              <w:t>Administrative changes such as updating organisation details</w:t>
            </w:r>
          </w:p>
        </w:tc>
        <w:tc>
          <w:tcPr>
            <w:tcW w:w="7546" w:type="dxa"/>
            <w:vMerge w:val="restart"/>
            <w:tcBorders>
              <w:top w:val="single" w:sz="12" w:space="0" w:color="auto"/>
              <w:bottom w:val="single" w:sz="4" w:space="0" w:color="auto"/>
            </w:tcBorders>
          </w:tcPr>
          <w:p w14:paraId="32A9381B" w14:textId="77777777" w:rsidR="00684D70" w:rsidRPr="00F8700A" w:rsidRDefault="00684D70" w:rsidP="007279CE">
            <w:pPr>
              <w:autoSpaceDE/>
              <w:autoSpaceDN/>
              <w:spacing w:before="60" w:after="60"/>
              <w:ind w:left="28"/>
              <w:rPr>
                <w:rFonts w:ascii="Arial Narrow" w:hAnsi="Arial Narrow" w:cs="Arial"/>
                <w:sz w:val="22"/>
                <w:szCs w:val="22"/>
              </w:rPr>
            </w:pPr>
            <w:r w:rsidRPr="00F8700A">
              <w:rPr>
                <w:rFonts w:ascii="Arial Narrow" w:hAnsi="Arial Narrow" w:cs="Arial"/>
                <w:sz w:val="22"/>
                <w:szCs w:val="22"/>
              </w:rPr>
              <w:t xml:space="preserve">Addition of a GMO unrelated to GMOs </w:t>
            </w:r>
            <w:r w:rsidR="00AB6630">
              <w:rPr>
                <w:rFonts w:ascii="Arial Narrow" w:hAnsi="Arial Narrow" w:cs="Arial"/>
                <w:sz w:val="22"/>
                <w:szCs w:val="22"/>
              </w:rPr>
              <w:t>assessed</w:t>
            </w:r>
            <w:r w:rsidR="00AB6630" w:rsidRPr="00F8700A">
              <w:rPr>
                <w:rFonts w:ascii="Arial Narrow" w:hAnsi="Arial Narrow" w:cs="Arial"/>
                <w:sz w:val="22"/>
                <w:szCs w:val="22"/>
              </w:rPr>
              <w:t xml:space="preserve"> </w:t>
            </w:r>
            <w:r w:rsidRPr="00F8700A">
              <w:rPr>
                <w:rFonts w:ascii="Arial Narrow" w:hAnsi="Arial Narrow" w:cs="Arial"/>
                <w:sz w:val="22"/>
                <w:szCs w:val="22"/>
              </w:rPr>
              <w:t xml:space="preserve">in </w:t>
            </w:r>
            <w:r w:rsidR="00AB6630">
              <w:rPr>
                <w:rFonts w:ascii="Arial Narrow" w:hAnsi="Arial Narrow" w:cs="Arial"/>
                <w:sz w:val="22"/>
                <w:szCs w:val="22"/>
              </w:rPr>
              <w:t xml:space="preserve">the </w:t>
            </w:r>
            <w:r w:rsidRPr="00F8700A">
              <w:rPr>
                <w:rFonts w:ascii="Arial Narrow" w:hAnsi="Arial Narrow" w:cs="Arial"/>
                <w:sz w:val="22"/>
                <w:szCs w:val="22"/>
              </w:rPr>
              <w:t xml:space="preserve">original </w:t>
            </w:r>
            <w:r w:rsidR="00AB6630">
              <w:rPr>
                <w:rFonts w:ascii="Arial Narrow" w:hAnsi="Arial Narrow" w:cs="Arial"/>
                <w:sz w:val="22"/>
                <w:szCs w:val="22"/>
              </w:rPr>
              <w:t>RARMP</w:t>
            </w:r>
          </w:p>
        </w:tc>
      </w:tr>
      <w:tr w:rsidR="00684D70" w:rsidRPr="002A5DBD" w14:paraId="209409E4" w14:textId="77777777" w:rsidTr="008D3AC0">
        <w:trPr>
          <w:trHeight w:val="337"/>
          <w:jc w:val="center"/>
        </w:trPr>
        <w:tc>
          <w:tcPr>
            <w:tcW w:w="7546" w:type="dxa"/>
            <w:tcBorders>
              <w:top w:val="single" w:sz="4" w:space="0" w:color="auto"/>
              <w:bottom w:val="single" w:sz="4" w:space="0" w:color="auto"/>
            </w:tcBorders>
          </w:tcPr>
          <w:p w14:paraId="6B9C2797" w14:textId="77777777" w:rsidR="00684D70" w:rsidRPr="00F8700A" w:rsidRDefault="00684D70" w:rsidP="00903FF5">
            <w:pPr>
              <w:autoSpaceDE/>
              <w:autoSpaceDN/>
              <w:spacing w:before="60" w:after="60"/>
              <w:ind w:left="28"/>
              <w:rPr>
                <w:rFonts w:ascii="Arial Narrow" w:hAnsi="Arial Narrow" w:cs="Arial"/>
                <w:sz w:val="22"/>
                <w:szCs w:val="22"/>
              </w:rPr>
            </w:pPr>
            <w:r w:rsidRPr="00F8700A">
              <w:rPr>
                <w:rFonts w:ascii="Arial Narrow" w:hAnsi="Arial Narrow" w:cs="Arial"/>
                <w:sz w:val="22"/>
                <w:szCs w:val="22"/>
              </w:rPr>
              <w:t>Extension of period of the licence</w:t>
            </w:r>
          </w:p>
        </w:tc>
        <w:tc>
          <w:tcPr>
            <w:tcW w:w="7546" w:type="dxa"/>
            <w:vMerge/>
            <w:tcBorders>
              <w:top w:val="single" w:sz="4" w:space="0" w:color="auto"/>
              <w:bottom w:val="single" w:sz="4" w:space="0" w:color="auto"/>
            </w:tcBorders>
          </w:tcPr>
          <w:p w14:paraId="60A7CDEE" w14:textId="77777777" w:rsidR="00684D70" w:rsidRPr="00F8700A" w:rsidRDefault="00684D70" w:rsidP="007F6FE0">
            <w:pPr>
              <w:autoSpaceDE/>
              <w:autoSpaceDN/>
              <w:spacing w:before="60" w:after="60"/>
              <w:ind w:left="28"/>
              <w:rPr>
                <w:rFonts w:ascii="Arial Narrow" w:hAnsi="Arial Narrow" w:cs="Arial"/>
                <w:sz w:val="22"/>
                <w:szCs w:val="22"/>
              </w:rPr>
            </w:pPr>
          </w:p>
        </w:tc>
      </w:tr>
      <w:tr w:rsidR="008D3AC0" w:rsidRPr="002A5DBD" w14:paraId="2380F82C" w14:textId="77777777" w:rsidTr="00C952D5">
        <w:trPr>
          <w:trHeight w:val="370"/>
          <w:jc w:val="center"/>
        </w:trPr>
        <w:tc>
          <w:tcPr>
            <w:tcW w:w="7546" w:type="dxa"/>
            <w:tcBorders>
              <w:top w:val="single" w:sz="4" w:space="0" w:color="auto"/>
              <w:bottom w:val="single" w:sz="4" w:space="0" w:color="auto"/>
            </w:tcBorders>
          </w:tcPr>
          <w:p w14:paraId="6A4C2EEA" w14:textId="79398B9F" w:rsidR="008D3AC0" w:rsidRPr="00F8700A" w:rsidRDefault="008D3AC0" w:rsidP="0019592B">
            <w:pPr>
              <w:autoSpaceDE/>
              <w:autoSpaceDN/>
              <w:spacing w:before="60" w:after="60"/>
              <w:ind w:left="28"/>
              <w:rPr>
                <w:rFonts w:ascii="Arial Narrow" w:hAnsi="Arial Narrow" w:cs="Arial"/>
                <w:sz w:val="22"/>
                <w:szCs w:val="22"/>
              </w:rPr>
            </w:pPr>
            <w:r w:rsidRPr="00F8700A">
              <w:rPr>
                <w:rFonts w:ascii="Arial Narrow" w:hAnsi="Arial Narrow" w:cs="Arial"/>
                <w:sz w:val="22"/>
                <w:szCs w:val="22"/>
              </w:rPr>
              <w:t>Minor changes to management protocols</w:t>
            </w:r>
            <w:r w:rsidRPr="00F8700A">
              <w:rPr>
                <w:rFonts w:ascii="Arial Narrow" w:hAnsi="Arial Narrow" w:cs="Arial"/>
                <w:i/>
                <w:iCs/>
                <w:sz w:val="22"/>
                <w:szCs w:val="22"/>
              </w:rPr>
              <w:t xml:space="preserve"> </w:t>
            </w:r>
            <w:r w:rsidRPr="00F8700A">
              <w:rPr>
                <w:rFonts w:ascii="Arial Narrow" w:hAnsi="Arial Narrow" w:cs="Arial"/>
                <w:sz w:val="22"/>
                <w:szCs w:val="22"/>
              </w:rPr>
              <w:t>(</w:t>
            </w:r>
            <w:proofErr w:type="gramStart"/>
            <w:r w:rsidRPr="00F8700A">
              <w:rPr>
                <w:rFonts w:ascii="Arial Narrow" w:hAnsi="Arial Narrow" w:cs="Arial"/>
                <w:i/>
                <w:iCs/>
                <w:sz w:val="22"/>
                <w:szCs w:val="22"/>
              </w:rPr>
              <w:t>e.g.</w:t>
            </w:r>
            <w:proofErr w:type="gramEnd"/>
            <w:r w:rsidRPr="00F8700A">
              <w:rPr>
                <w:rFonts w:ascii="Arial Narrow" w:hAnsi="Arial Narrow" w:cs="Arial"/>
                <w:sz w:val="22"/>
                <w:szCs w:val="22"/>
              </w:rPr>
              <w:t xml:space="preserve"> a new decontamination method or type of personal protective equipment that is demonstrated to be equally or more effective than those originally specified)</w:t>
            </w:r>
          </w:p>
        </w:tc>
        <w:tc>
          <w:tcPr>
            <w:tcW w:w="7546" w:type="dxa"/>
            <w:vMerge w:val="restart"/>
            <w:tcBorders>
              <w:top w:val="single" w:sz="4" w:space="0" w:color="auto"/>
            </w:tcBorders>
          </w:tcPr>
          <w:p w14:paraId="07B0C4F7" w14:textId="77777777" w:rsidR="008D3AC0" w:rsidRPr="00F8700A" w:rsidRDefault="008D3AC0" w:rsidP="007279CE">
            <w:pPr>
              <w:autoSpaceDE/>
              <w:autoSpaceDN/>
              <w:spacing w:before="60" w:after="60"/>
              <w:ind w:left="28"/>
              <w:rPr>
                <w:rFonts w:ascii="Arial Narrow" w:hAnsi="Arial Narrow" w:cs="Arial"/>
                <w:sz w:val="22"/>
                <w:szCs w:val="22"/>
              </w:rPr>
            </w:pPr>
            <w:r w:rsidRPr="00F8700A">
              <w:rPr>
                <w:rFonts w:ascii="Arial Narrow" w:hAnsi="Arial Narrow" w:cs="Arial"/>
                <w:sz w:val="22"/>
                <w:szCs w:val="22"/>
              </w:rPr>
              <w:t>Major changes to management protocols (</w:t>
            </w:r>
            <w:proofErr w:type="gramStart"/>
            <w:r w:rsidRPr="00F8700A">
              <w:rPr>
                <w:rFonts w:ascii="Arial Narrow" w:hAnsi="Arial Narrow" w:cs="Arial"/>
                <w:i/>
                <w:sz w:val="22"/>
                <w:szCs w:val="22"/>
              </w:rPr>
              <w:t>e.g.</w:t>
            </w:r>
            <w:proofErr w:type="gramEnd"/>
            <w:r w:rsidRPr="00F8700A">
              <w:rPr>
                <w:rFonts w:ascii="Arial Narrow" w:hAnsi="Arial Narrow" w:cs="Arial"/>
                <w:sz w:val="22"/>
                <w:szCs w:val="22"/>
              </w:rPr>
              <w:t xml:space="preserve"> use of a different type of equipment or decontamination method which presents a new exposure pathway with potential for harm) </w:t>
            </w:r>
            <w:r w:rsidR="007279CE" w:rsidRPr="00F8700A">
              <w:rPr>
                <w:rFonts w:ascii="Arial Narrow" w:hAnsi="Arial Narrow" w:cs="Arial"/>
                <w:sz w:val="22"/>
                <w:szCs w:val="22"/>
              </w:rPr>
              <w:t>not considered in a RARMP in relation to similar GMO dealings</w:t>
            </w:r>
          </w:p>
        </w:tc>
      </w:tr>
      <w:tr w:rsidR="008D3AC0" w:rsidRPr="002A5DBD" w14:paraId="52B46EB7" w14:textId="77777777" w:rsidTr="00D86D7C">
        <w:trPr>
          <w:trHeight w:val="263"/>
          <w:jc w:val="center"/>
        </w:trPr>
        <w:tc>
          <w:tcPr>
            <w:tcW w:w="7546" w:type="dxa"/>
            <w:tcBorders>
              <w:top w:val="single" w:sz="4" w:space="0" w:color="auto"/>
              <w:bottom w:val="single" w:sz="4" w:space="0" w:color="auto"/>
            </w:tcBorders>
          </w:tcPr>
          <w:p w14:paraId="25BD6B8E" w14:textId="77777777" w:rsidR="008D3AC0" w:rsidRPr="00F8700A" w:rsidRDefault="008D3AC0" w:rsidP="0019592B">
            <w:pPr>
              <w:autoSpaceDE/>
              <w:autoSpaceDN/>
              <w:spacing w:before="60" w:after="60"/>
              <w:ind w:left="28"/>
              <w:rPr>
                <w:rFonts w:ascii="Arial Narrow" w:hAnsi="Arial Narrow" w:cs="Arial"/>
                <w:sz w:val="22"/>
                <w:szCs w:val="22"/>
              </w:rPr>
            </w:pPr>
            <w:r w:rsidRPr="00F8700A">
              <w:rPr>
                <w:rFonts w:ascii="Arial Narrow" w:hAnsi="Arial Narrow" w:cs="Arial"/>
                <w:sz w:val="22"/>
                <w:szCs w:val="22"/>
              </w:rPr>
              <w:t>Changes to transport or storage conditions (</w:t>
            </w:r>
            <w:proofErr w:type="gramStart"/>
            <w:r w:rsidRPr="00F8700A">
              <w:rPr>
                <w:rFonts w:ascii="Arial Narrow" w:hAnsi="Arial Narrow" w:cs="Arial"/>
                <w:i/>
                <w:sz w:val="22"/>
                <w:szCs w:val="22"/>
              </w:rPr>
              <w:t>e.g.</w:t>
            </w:r>
            <w:proofErr w:type="gramEnd"/>
            <w:r w:rsidRPr="00F8700A">
              <w:rPr>
                <w:rFonts w:ascii="Arial Narrow" w:hAnsi="Arial Narrow" w:cs="Arial"/>
                <w:sz w:val="22"/>
                <w:szCs w:val="22"/>
              </w:rPr>
              <w:t xml:space="preserve"> add import or supply to another organisation; allow storage outside a certified facility)</w:t>
            </w:r>
          </w:p>
        </w:tc>
        <w:tc>
          <w:tcPr>
            <w:tcW w:w="7546" w:type="dxa"/>
            <w:vMerge/>
          </w:tcPr>
          <w:p w14:paraId="6ED3E992" w14:textId="77777777" w:rsidR="008D3AC0" w:rsidRPr="00F8700A" w:rsidRDefault="008D3AC0" w:rsidP="001437FB">
            <w:pPr>
              <w:spacing w:before="60" w:after="60"/>
              <w:ind w:left="28"/>
              <w:rPr>
                <w:rFonts w:ascii="Arial Narrow" w:hAnsi="Arial Narrow" w:cs="Arial"/>
                <w:sz w:val="22"/>
                <w:szCs w:val="22"/>
              </w:rPr>
            </w:pPr>
          </w:p>
        </w:tc>
      </w:tr>
      <w:tr w:rsidR="008D3AC0" w:rsidRPr="002A5DBD" w14:paraId="6C5A5508" w14:textId="77777777" w:rsidTr="00C952D5">
        <w:trPr>
          <w:trHeight w:val="263"/>
          <w:jc w:val="center"/>
        </w:trPr>
        <w:tc>
          <w:tcPr>
            <w:tcW w:w="7546" w:type="dxa"/>
            <w:tcBorders>
              <w:top w:val="single" w:sz="4" w:space="0" w:color="auto"/>
              <w:bottom w:val="single" w:sz="4" w:space="0" w:color="auto"/>
            </w:tcBorders>
          </w:tcPr>
          <w:p w14:paraId="6F0832E0" w14:textId="50FF91E7" w:rsidR="008D3AC0" w:rsidRPr="00F8700A" w:rsidRDefault="004C6120" w:rsidP="005B5A2F">
            <w:pPr>
              <w:autoSpaceDE/>
              <w:autoSpaceDN/>
              <w:spacing w:before="60" w:after="60"/>
              <w:ind w:left="28"/>
              <w:rPr>
                <w:rFonts w:ascii="Arial Narrow" w:hAnsi="Arial Narrow" w:cs="Arial"/>
                <w:sz w:val="22"/>
                <w:szCs w:val="22"/>
              </w:rPr>
            </w:pPr>
            <w:r w:rsidRPr="008D3AC0">
              <w:rPr>
                <w:rFonts w:ascii="Arial Narrow" w:hAnsi="Arial Narrow" w:cs="Arial"/>
                <w:sz w:val="22"/>
                <w:szCs w:val="22"/>
              </w:rPr>
              <w:t>Removal of particular GMOs or dealings from the licence (</w:t>
            </w:r>
            <w:proofErr w:type="gramStart"/>
            <w:r w:rsidRPr="008D3AC0">
              <w:rPr>
                <w:rFonts w:ascii="Arial Narrow" w:hAnsi="Arial Narrow" w:cs="Arial"/>
                <w:sz w:val="22"/>
                <w:szCs w:val="22"/>
              </w:rPr>
              <w:t>e.g.</w:t>
            </w:r>
            <w:proofErr w:type="gramEnd"/>
            <w:r w:rsidRPr="008D3AC0">
              <w:rPr>
                <w:rFonts w:ascii="Arial Narrow" w:hAnsi="Arial Narrow" w:cs="Arial"/>
                <w:sz w:val="22"/>
                <w:szCs w:val="22"/>
              </w:rPr>
              <w:t xml:space="preserve"> if a GMO is no longer being dealt with by the licence holder; or if a dealings is now covered by a </w:t>
            </w:r>
            <w:r w:rsidR="005A1B7A">
              <w:rPr>
                <w:rFonts w:ascii="Arial Narrow" w:hAnsi="Arial Narrow" w:cs="Arial"/>
                <w:sz w:val="22"/>
                <w:szCs w:val="22"/>
              </w:rPr>
              <w:t>Notifi</w:t>
            </w:r>
            <w:r w:rsidR="001C5879">
              <w:rPr>
                <w:rFonts w:ascii="Arial Narrow" w:hAnsi="Arial Narrow" w:cs="Arial"/>
                <w:sz w:val="22"/>
                <w:szCs w:val="22"/>
              </w:rPr>
              <w:t>able</w:t>
            </w:r>
            <w:r w:rsidR="005A1B7A">
              <w:rPr>
                <w:rFonts w:ascii="Arial Narrow" w:hAnsi="Arial Narrow" w:cs="Arial"/>
                <w:sz w:val="22"/>
                <w:szCs w:val="22"/>
              </w:rPr>
              <w:t xml:space="preserve"> Low Risk Dealings</w:t>
            </w:r>
            <w:r w:rsidRPr="008D3AC0">
              <w:rPr>
                <w:rFonts w:ascii="Arial Narrow" w:hAnsi="Arial Narrow" w:cs="Arial"/>
                <w:sz w:val="22"/>
                <w:szCs w:val="22"/>
              </w:rPr>
              <w:t>)</w:t>
            </w:r>
          </w:p>
        </w:tc>
        <w:tc>
          <w:tcPr>
            <w:tcW w:w="7546" w:type="dxa"/>
            <w:vMerge/>
            <w:tcBorders>
              <w:bottom w:val="single" w:sz="4" w:space="0" w:color="auto"/>
            </w:tcBorders>
          </w:tcPr>
          <w:p w14:paraId="2894B7C2" w14:textId="77777777" w:rsidR="008D3AC0" w:rsidRPr="00F8700A" w:rsidRDefault="008D3AC0" w:rsidP="001437FB">
            <w:pPr>
              <w:spacing w:before="60" w:after="60"/>
              <w:ind w:left="28"/>
              <w:rPr>
                <w:rFonts w:ascii="Arial Narrow" w:hAnsi="Arial Narrow" w:cs="Arial"/>
                <w:sz w:val="22"/>
                <w:szCs w:val="22"/>
              </w:rPr>
            </w:pPr>
          </w:p>
        </w:tc>
      </w:tr>
      <w:tr w:rsidR="008D3AC0" w:rsidRPr="002A5DBD" w14:paraId="63B4D672" w14:textId="77777777" w:rsidTr="00673A70">
        <w:trPr>
          <w:trHeight w:val="507"/>
          <w:jc w:val="center"/>
        </w:trPr>
        <w:tc>
          <w:tcPr>
            <w:tcW w:w="7546" w:type="dxa"/>
            <w:tcBorders>
              <w:top w:val="single" w:sz="4" w:space="0" w:color="auto"/>
              <w:bottom w:val="single" w:sz="4" w:space="0" w:color="auto"/>
            </w:tcBorders>
          </w:tcPr>
          <w:p w14:paraId="607CFFA7" w14:textId="77777777" w:rsidR="004C6120" w:rsidRPr="008D3AC0" w:rsidRDefault="008D3AC0" w:rsidP="00BD4008">
            <w:pPr>
              <w:autoSpaceDE/>
              <w:autoSpaceDN/>
              <w:spacing w:before="60" w:after="60"/>
              <w:ind w:left="28"/>
              <w:rPr>
                <w:rFonts w:ascii="Arial Narrow" w:hAnsi="Arial Narrow" w:cs="Arial"/>
                <w:sz w:val="22"/>
                <w:szCs w:val="22"/>
              </w:rPr>
            </w:pPr>
            <w:r w:rsidRPr="008D3AC0">
              <w:rPr>
                <w:rFonts w:ascii="Arial Narrow" w:hAnsi="Arial Narrow" w:cs="Arial"/>
                <w:sz w:val="22"/>
                <w:szCs w:val="22"/>
              </w:rPr>
              <w:t>Addition of a gene, host/vector system or parent organism that is related to a gene, host/vector system or parent organism in the original licence, and which does not change the category of dealings as defined in Schedule 3, Part 3 of the Gene Technology Regulations 2001</w:t>
            </w:r>
          </w:p>
        </w:tc>
        <w:tc>
          <w:tcPr>
            <w:tcW w:w="7546" w:type="dxa"/>
            <w:tcBorders>
              <w:top w:val="single" w:sz="4" w:space="0" w:color="auto"/>
            </w:tcBorders>
          </w:tcPr>
          <w:p w14:paraId="36688B4D" w14:textId="77777777" w:rsidR="008D3AC0" w:rsidRPr="00490310" w:rsidRDefault="001A4883" w:rsidP="001A4883">
            <w:pPr>
              <w:spacing w:before="60" w:after="60"/>
              <w:ind w:left="28"/>
              <w:rPr>
                <w:rFonts w:ascii="Arial Narrow" w:hAnsi="Arial Narrow" w:cs="Arial"/>
                <w:sz w:val="22"/>
                <w:szCs w:val="22"/>
              </w:rPr>
            </w:pPr>
            <w:r w:rsidRPr="00490310">
              <w:rPr>
                <w:rFonts w:ascii="Arial Narrow" w:hAnsi="Arial Narrow" w:cs="Arial"/>
                <w:sz w:val="22"/>
                <w:szCs w:val="22"/>
              </w:rPr>
              <w:t>Addition of a new category of dealings as defined in Schedule 3, Part 3 of the current Gene Technology Regulations 2001</w:t>
            </w:r>
            <w:r w:rsidR="005221F0">
              <w:rPr>
                <w:rFonts w:ascii="Arial Narrow" w:hAnsi="Arial Narrow" w:cs="Arial"/>
                <w:sz w:val="22"/>
                <w:szCs w:val="22"/>
              </w:rPr>
              <w:t xml:space="preserve"> </w:t>
            </w:r>
            <w:r w:rsidRPr="00490310">
              <w:rPr>
                <w:rFonts w:ascii="Arial Narrow" w:hAnsi="Arial Narrow" w:cs="Arial"/>
                <w:sz w:val="22"/>
                <w:szCs w:val="22"/>
              </w:rPr>
              <w:t>that has</w:t>
            </w:r>
            <w:r w:rsidR="005221F0">
              <w:rPr>
                <w:rFonts w:ascii="Arial Narrow" w:hAnsi="Arial Narrow" w:cs="Arial"/>
                <w:sz w:val="22"/>
                <w:szCs w:val="22"/>
              </w:rPr>
              <w:t xml:space="preserve"> not</w:t>
            </w:r>
            <w:r w:rsidRPr="00490310">
              <w:rPr>
                <w:rFonts w:ascii="Arial Narrow" w:hAnsi="Arial Narrow" w:cs="Arial"/>
                <w:sz w:val="22"/>
                <w:szCs w:val="22"/>
              </w:rPr>
              <w:t xml:space="preserve"> been considered in a RARMP in relation to similar GMOs</w:t>
            </w:r>
          </w:p>
        </w:tc>
      </w:tr>
      <w:tr w:rsidR="008D3AC0" w:rsidRPr="002A5DBD" w14:paraId="2B287835" w14:textId="77777777" w:rsidTr="008D3AC0">
        <w:trPr>
          <w:trHeight w:val="1460"/>
          <w:jc w:val="center"/>
        </w:trPr>
        <w:tc>
          <w:tcPr>
            <w:tcW w:w="7546" w:type="dxa"/>
            <w:tcBorders>
              <w:top w:val="single" w:sz="4" w:space="0" w:color="auto"/>
            </w:tcBorders>
          </w:tcPr>
          <w:p w14:paraId="2B93CC93" w14:textId="77777777" w:rsidR="008D3AC0" w:rsidRPr="008D3AC0" w:rsidRDefault="004C6120" w:rsidP="004C6120">
            <w:pPr>
              <w:autoSpaceDE/>
              <w:autoSpaceDN/>
              <w:spacing w:before="60" w:after="60"/>
              <w:ind w:left="28"/>
              <w:rPr>
                <w:rFonts w:ascii="Arial Narrow" w:hAnsi="Arial Narrow" w:cs="Arial"/>
                <w:sz w:val="22"/>
                <w:szCs w:val="22"/>
              </w:rPr>
            </w:pPr>
            <w:r>
              <w:rPr>
                <w:rFonts w:ascii="Arial Narrow" w:hAnsi="Arial Narrow" w:cs="Arial"/>
                <w:sz w:val="22"/>
                <w:szCs w:val="22"/>
              </w:rPr>
              <w:t xml:space="preserve">Addition of a new category of dealings, as defined in Schedule 3,Part 3 of the Gene Technology Regulations 2001, which is within the broad scope of the project assessed in the original RARMP (e.g. addition of </w:t>
            </w:r>
            <w:r w:rsidRPr="004C6120">
              <w:rPr>
                <w:rFonts w:ascii="Arial Narrow" w:hAnsi="Arial Narrow" w:cs="Arial"/>
                <w:i/>
                <w:sz w:val="22"/>
                <w:szCs w:val="22"/>
              </w:rPr>
              <w:t>in vivo</w:t>
            </w:r>
            <w:r>
              <w:rPr>
                <w:rFonts w:ascii="Arial Narrow" w:hAnsi="Arial Narrow" w:cs="Arial"/>
                <w:sz w:val="22"/>
                <w:szCs w:val="22"/>
              </w:rPr>
              <w:t xml:space="preserve"> dealings with GMOs [3.1(d)] to a licence which only authorises </w:t>
            </w:r>
            <w:r w:rsidRPr="004C6120">
              <w:rPr>
                <w:rFonts w:ascii="Arial Narrow" w:hAnsi="Arial Narrow" w:cs="Arial"/>
                <w:i/>
                <w:sz w:val="22"/>
                <w:szCs w:val="22"/>
              </w:rPr>
              <w:t>in vitro</w:t>
            </w:r>
            <w:r>
              <w:rPr>
                <w:rFonts w:ascii="Arial Narrow" w:hAnsi="Arial Narrow" w:cs="Arial"/>
                <w:sz w:val="22"/>
                <w:szCs w:val="22"/>
              </w:rPr>
              <w:t xml:space="preserve"> dealings with those GMOs) and where any risks associated with </w:t>
            </w:r>
            <w:r w:rsidRPr="004C6120">
              <w:rPr>
                <w:rFonts w:ascii="Arial Narrow" w:hAnsi="Arial Narrow" w:cs="Arial"/>
                <w:i/>
                <w:sz w:val="22"/>
                <w:szCs w:val="22"/>
              </w:rPr>
              <w:t>in vivo</w:t>
            </w:r>
            <w:r>
              <w:rPr>
                <w:rFonts w:ascii="Arial Narrow" w:hAnsi="Arial Narrow" w:cs="Arial"/>
                <w:sz w:val="22"/>
                <w:szCs w:val="22"/>
              </w:rPr>
              <w:t xml:space="preserve"> dealings have been considered in a RARMP in relation to similar GMOs</w:t>
            </w:r>
          </w:p>
        </w:tc>
        <w:tc>
          <w:tcPr>
            <w:tcW w:w="7546" w:type="dxa"/>
          </w:tcPr>
          <w:p w14:paraId="601BF23A" w14:textId="77777777" w:rsidR="008D3AC0" w:rsidRPr="008D3AC0" w:rsidRDefault="008D3AC0" w:rsidP="008521B8">
            <w:pPr>
              <w:spacing w:before="60" w:after="60"/>
              <w:ind w:left="28"/>
              <w:rPr>
                <w:rFonts w:ascii="Arial Narrow" w:hAnsi="Arial Narrow" w:cs="Arial"/>
                <w:sz w:val="22"/>
                <w:szCs w:val="22"/>
              </w:rPr>
            </w:pPr>
          </w:p>
        </w:tc>
      </w:tr>
      <w:tr w:rsidR="00E578D7" w:rsidRPr="002A5DBD" w14:paraId="22765513" w14:textId="77777777" w:rsidTr="008D3AC0">
        <w:trPr>
          <w:trHeight w:val="644"/>
          <w:jc w:val="center"/>
        </w:trPr>
        <w:tc>
          <w:tcPr>
            <w:tcW w:w="7546" w:type="dxa"/>
            <w:tcBorders>
              <w:top w:val="single" w:sz="4" w:space="0" w:color="auto"/>
              <w:bottom w:val="single" w:sz="4" w:space="0" w:color="auto"/>
            </w:tcBorders>
          </w:tcPr>
          <w:p w14:paraId="4A985AA0" w14:textId="77777777" w:rsidR="00E578D7" w:rsidRPr="008D3AC0" w:rsidRDefault="00E578D7" w:rsidP="004C6120">
            <w:pPr>
              <w:autoSpaceDE/>
              <w:autoSpaceDN/>
              <w:spacing w:before="60" w:after="60"/>
              <w:ind w:left="28"/>
              <w:rPr>
                <w:rFonts w:ascii="Arial Narrow" w:hAnsi="Arial Narrow" w:cs="Arial"/>
                <w:sz w:val="22"/>
                <w:szCs w:val="22"/>
              </w:rPr>
            </w:pPr>
            <w:r w:rsidRPr="008D3AC0">
              <w:rPr>
                <w:rFonts w:ascii="Arial Narrow" w:hAnsi="Arial Narrow" w:cs="Arial"/>
                <w:sz w:val="22"/>
                <w:szCs w:val="22"/>
              </w:rPr>
              <w:t>Add</w:t>
            </w:r>
            <w:r w:rsidR="004C6120">
              <w:rPr>
                <w:rFonts w:ascii="Arial Narrow" w:hAnsi="Arial Narrow" w:cs="Arial"/>
                <w:sz w:val="22"/>
                <w:szCs w:val="22"/>
              </w:rPr>
              <w:t xml:space="preserve">ition of </w:t>
            </w:r>
            <w:r w:rsidRPr="008D3AC0">
              <w:rPr>
                <w:rFonts w:ascii="Arial Narrow" w:hAnsi="Arial Narrow" w:cs="Arial"/>
                <w:sz w:val="22"/>
                <w:szCs w:val="22"/>
              </w:rPr>
              <w:t xml:space="preserve">a certified facility </w:t>
            </w:r>
            <w:r w:rsidR="004A59DB" w:rsidRPr="008D3AC0">
              <w:rPr>
                <w:rFonts w:ascii="Arial Narrow" w:hAnsi="Arial Narrow" w:cs="Arial"/>
                <w:sz w:val="22"/>
                <w:szCs w:val="22"/>
              </w:rPr>
              <w:t>of</w:t>
            </w:r>
            <w:r w:rsidRPr="008D3AC0">
              <w:rPr>
                <w:rFonts w:ascii="Arial Narrow" w:hAnsi="Arial Narrow" w:cs="Arial"/>
                <w:sz w:val="22"/>
                <w:szCs w:val="22"/>
              </w:rPr>
              <w:t xml:space="preserve"> </w:t>
            </w:r>
            <w:r w:rsidR="00AB6630">
              <w:rPr>
                <w:rFonts w:ascii="Arial Narrow" w:hAnsi="Arial Narrow" w:cs="Arial"/>
                <w:sz w:val="22"/>
                <w:szCs w:val="22"/>
              </w:rPr>
              <w:t xml:space="preserve">the </w:t>
            </w:r>
            <w:r w:rsidRPr="008D3AC0">
              <w:rPr>
                <w:rFonts w:ascii="Arial Narrow" w:hAnsi="Arial Narrow" w:cs="Arial"/>
                <w:sz w:val="22"/>
                <w:szCs w:val="22"/>
              </w:rPr>
              <w:t xml:space="preserve">same type and </w:t>
            </w:r>
            <w:r w:rsidR="004A59DB" w:rsidRPr="008D3AC0">
              <w:rPr>
                <w:rFonts w:ascii="Arial Narrow" w:hAnsi="Arial Narrow" w:cs="Arial"/>
                <w:sz w:val="22"/>
                <w:szCs w:val="22"/>
              </w:rPr>
              <w:t>the same or higher physical containment (PC) level</w:t>
            </w:r>
            <w:r w:rsidRPr="008D3AC0">
              <w:rPr>
                <w:rFonts w:ascii="Arial Narrow" w:hAnsi="Arial Narrow" w:cs="Arial"/>
                <w:sz w:val="22"/>
                <w:szCs w:val="22"/>
              </w:rPr>
              <w:t>, or remove a certified facility</w:t>
            </w:r>
          </w:p>
        </w:tc>
        <w:tc>
          <w:tcPr>
            <w:tcW w:w="7546" w:type="dxa"/>
            <w:tcBorders>
              <w:top w:val="single" w:sz="4" w:space="0" w:color="auto"/>
              <w:bottom w:val="single" w:sz="4" w:space="0" w:color="auto"/>
            </w:tcBorders>
          </w:tcPr>
          <w:p w14:paraId="51D99001" w14:textId="7ECE3122" w:rsidR="00E578D7" w:rsidRPr="008D3AC0" w:rsidRDefault="004A59DB" w:rsidP="001437FB">
            <w:pPr>
              <w:spacing w:before="60" w:after="60"/>
              <w:ind w:left="28"/>
              <w:rPr>
                <w:rFonts w:ascii="Arial Narrow" w:hAnsi="Arial Narrow" w:cs="Arial"/>
                <w:sz w:val="22"/>
                <w:szCs w:val="22"/>
              </w:rPr>
            </w:pPr>
            <w:r w:rsidRPr="008D3AC0">
              <w:rPr>
                <w:rFonts w:ascii="Arial Narrow" w:hAnsi="Arial Narrow" w:cs="Arial"/>
                <w:sz w:val="22"/>
                <w:szCs w:val="22"/>
              </w:rPr>
              <w:t>A</w:t>
            </w:r>
            <w:r w:rsidR="00E578D7" w:rsidRPr="008D3AC0">
              <w:rPr>
                <w:rFonts w:ascii="Arial Narrow" w:hAnsi="Arial Narrow" w:cs="Arial"/>
                <w:sz w:val="22"/>
                <w:szCs w:val="22"/>
              </w:rPr>
              <w:t>dd</w:t>
            </w:r>
            <w:r w:rsidR="005714B8" w:rsidRPr="008D3AC0">
              <w:rPr>
                <w:rFonts w:ascii="Arial Narrow" w:hAnsi="Arial Narrow" w:cs="Arial"/>
                <w:sz w:val="22"/>
                <w:szCs w:val="22"/>
              </w:rPr>
              <w:t>ition of</w:t>
            </w:r>
            <w:r w:rsidR="00E578D7" w:rsidRPr="008D3AC0">
              <w:rPr>
                <w:rFonts w:ascii="Arial Narrow" w:hAnsi="Arial Narrow" w:cs="Arial"/>
                <w:sz w:val="22"/>
                <w:szCs w:val="22"/>
              </w:rPr>
              <w:t xml:space="preserve"> </w:t>
            </w:r>
            <w:r w:rsidRPr="008D3AC0">
              <w:rPr>
                <w:rFonts w:ascii="Arial Narrow" w:hAnsi="Arial Narrow" w:cs="Arial"/>
                <w:sz w:val="22"/>
                <w:szCs w:val="22"/>
              </w:rPr>
              <w:t xml:space="preserve">a certified </w:t>
            </w:r>
            <w:r w:rsidR="00E578D7" w:rsidRPr="008D3AC0">
              <w:rPr>
                <w:rFonts w:ascii="Arial Narrow" w:hAnsi="Arial Narrow" w:cs="Arial"/>
                <w:sz w:val="22"/>
                <w:szCs w:val="22"/>
              </w:rPr>
              <w:t>facility of a different type (</w:t>
            </w:r>
            <w:proofErr w:type="gramStart"/>
            <w:r w:rsidR="00E578D7" w:rsidRPr="008D3AC0">
              <w:rPr>
                <w:rFonts w:ascii="Arial Narrow" w:hAnsi="Arial Narrow" w:cs="Arial"/>
                <w:sz w:val="22"/>
                <w:szCs w:val="22"/>
              </w:rPr>
              <w:t>e</w:t>
            </w:r>
            <w:r w:rsidR="0036779C" w:rsidRPr="008D3AC0">
              <w:rPr>
                <w:rFonts w:ascii="Arial Narrow" w:hAnsi="Arial Narrow" w:cs="Arial"/>
                <w:sz w:val="22"/>
                <w:szCs w:val="22"/>
              </w:rPr>
              <w:t>.</w:t>
            </w:r>
            <w:r w:rsidR="00E578D7" w:rsidRPr="008D3AC0">
              <w:rPr>
                <w:rFonts w:ascii="Arial Narrow" w:hAnsi="Arial Narrow" w:cs="Arial"/>
                <w:sz w:val="22"/>
                <w:szCs w:val="22"/>
              </w:rPr>
              <w:t>g</w:t>
            </w:r>
            <w:r w:rsidR="0036779C" w:rsidRPr="008D3AC0">
              <w:rPr>
                <w:rFonts w:ascii="Arial Narrow" w:hAnsi="Arial Narrow" w:cs="Arial"/>
                <w:sz w:val="22"/>
                <w:szCs w:val="22"/>
              </w:rPr>
              <w:t>.</w:t>
            </w:r>
            <w:proofErr w:type="gramEnd"/>
            <w:r w:rsidR="00E578D7" w:rsidRPr="008D3AC0">
              <w:rPr>
                <w:rFonts w:ascii="Arial Narrow" w:hAnsi="Arial Narrow" w:cs="Arial"/>
                <w:sz w:val="22"/>
                <w:szCs w:val="22"/>
              </w:rPr>
              <w:t xml:space="preserve"> laboratory rather than animal house) or lower PC level</w:t>
            </w:r>
            <w:r w:rsidR="002B0342" w:rsidRPr="008D3AC0">
              <w:rPr>
                <w:rFonts w:ascii="Arial Narrow" w:hAnsi="Arial Narrow" w:cs="Arial"/>
                <w:sz w:val="22"/>
                <w:szCs w:val="22"/>
              </w:rPr>
              <w:t xml:space="preserve"> not considered </w:t>
            </w:r>
            <w:r w:rsidR="001437FB" w:rsidRPr="008D3AC0">
              <w:rPr>
                <w:rFonts w:ascii="Arial Narrow" w:hAnsi="Arial Narrow" w:cs="Arial"/>
                <w:sz w:val="22"/>
                <w:szCs w:val="22"/>
              </w:rPr>
              <w:t>for similar GMO dealings</w:t>
            </w:r>
            <w:r w:rsidR="002B0342" w:rsidRPr="008D3AC0">
              <w:rPr>
                <w:rFonts w:ascii="Arial Narrow" w:hAnsi="Arial Narrow" w:cs="Arial"/>
                <w:sz w:val="22"/>
                <w:szCs w:val="22"/>
              </w:rPr>
              <w:t xml:space="preserve"> in a relevant RARMP</w:t>
            </w:r>
          </w:p>
        </w:tc>
      </w:tr>
      <w:tr w:rsidR="00684D70" w:rsidRPr="002A5DBD" w14:paraId="5261C9CB" w14:textId="77777777" w:rsidTr="008D3AC0">
        <w:trPr>
          <w:trHeight w:val="649"/>
          <w:jc w:val="center"/>
        </w:trPr>
        <w:tc>
          <w:tcPr>
            <w:tcW w:w="7546" w:type="dxa"/>
            <w:tcBorders>
              <w:top w:val="single" w:sz="4" w:space="0" w:color="auto"/>
              <w:bottom w:val="single" w:sz="12" w:space="0" w:color="auto"/>
            </w:tcBorders>
          </w:tcPr>
          <w:p w14:paraId="30AA8428" w14:textId="77777777" w:rsidR="00684D70" w:rsidRPr="008D3AC0" w:rsidRDefault="00684D70" w:rsidP="00820230">
            <w:pPr>
              <w:autoSpaceDE/>
              <w:autoSpaceDN/>
              <w:spacing w:before="60" w:after="60"/>
              <w:ind w:left="28"/>
              <w:rPr>
                <w:rFonts w:ascii="Arial Narrow" w:hAnsi="Arial Narrow" w:cs="Arial"/>
                <w:sz w:val="22"/>
                <w:szCs w:val="22"/>
              </w:rPr>
            </w:pPr>
            <w:r w:rsidRPr="008D3AC0">
              <w:rPr>
                <w:rFonts w:ascii="Arial Narrow" w:hAnsi="Arial Narrow" w:cs="Arial"/>
                <w:sz w:val="22"/>
                <w:szCs w:val="22"/>
              </w:rPr>
              <w:t>For a clinical trial, addition of new trial sites, or a small to moderate increase in the number of trial participants</w:t>
            </w:r>
          </w:p>
        </w:tc>
        <w:tc>
          <w:tcPr>
            <w:tcW w:w="7546" w:type="dxa"/>
            <w:tcBorders>
              <w:top w:val="single" w:sz="4" w:space="0" w:color="auto"/>
              <w:bottom w:val="single" w:sz="12" w:space="0" w:color="auto"/>
            </w:tcBorders>
          </w:tcPr>
          <w:p w14:paraId="189CCC99" w14:textId="77777777" w:rsidR="00684D70" w:rsidRPr="008D3AC0" w:rsidRDefault="00684D70" w:rsidP="001A6E5F">
            <w:pPr>
              <w:autoSpaceDE/>
              <w:autoSpaceDN/>
              <w:spacing w:before="60" w:after="60"/>
              <w:ind w:left="28"/>
              <w:rPr>
                <w:rFonts w:ascii="Arial Narrow" w:hAnsi="Arial Narrow" w:cs="Arial"/>
                <w:sz w:val="22"/>
                <w:szCs w:val="22"/>
              </w:rPr>
            </w:pPr>
            <w:r w:rsidRPr="008D3AC0">
              <w:rPr>
                <w:rFonts w:ascii="Arial Narrow" w:hAnsi="Arial Narrow" w:cs="Arial"/>
                <w:sz w:val="22"/>
                <w:szCs w:val="22"/>
              </w:rPr>
              <w:t xml:space="preserve">For a clinical trial, a </w:t>
            </w:r>
            <w:r w:rsidR="001A6E5F">
              <w:rPr>
                <w:rFonts w:ascii="Arial Narrow" w:hAnsi="Arial Narrow" w:cs="Arial"/>
                <w:sz w:val="22"/>
                <w:szCs w:val="22"/>
              </w:rPr>
              <w:t xml:space="preserve">significant change in scope </w:t>
            </w:r>
            <w:r w:rsidR="001C0A84" w:rsidRPr="008D3AC0">
              <w:rPr>
                <w:rFonts w:ascii="Arial Narrow" w:hAnsi="Arial Narrow" w:cs="Arial"/>
                <w:sz w:val="22"/>
                <w:szCs w:val="22"/>
              </w:rPr>
              <w:t>(</w:t>
            </w:r>
            <w:proofErr w:type="gramStart"/>
            <w:r w:rsidR="001C0A84" w:rsidRPr="008D3AC0">
              <w:rPr>
                <w:rFonts w:ascii="Arial Narrow" w:hAnsi="Arial Narrow" w:cs="Arial"/>
                <w:sz w:val="22"/>
                <w:szCs w:val="22"/>
              </w:rPr>
              <w:t>e</w:t>
            </w:r>
            <w:r w:rsidR="005235AB" w:rsidRPr="008D3AC0">
              <w:rPr>
                <w:rFonts w:ascii="Arial Narrow" w:hAnsi="Arial Narrow" w:cs="Arial"/>
                <w:sz w:val="22"/>
                <w:szCs w:val="22"/>
              </w:rPr>
              <w:t>.</w:t>
            </w:r>
            <w:r w:rsidR="001C0A84" w:rsidRPr="008D3AC0">
              <w:rPr>
                <w:rFonts w:ascii="Arial Narrow" w:hAnsi="Arial Narrow" w:cs="Arial"/>
                <w:sz w:val="22"/>
                <w:szCs w:val="22"/>
              </w:rPr>
              <w:t>g</w:t>
            </w:r>
            <w:r w:rsidR="005235AB" w:rsidRPr="008D3AC0">
              <w:rPr>
                <w:rFonts w:ascii="Arial Narrow" w:hAnsi="Arial Narrow" w:cs="Arial"/>
                <w:sz w:val="22"/>
                <w:szCs w:val="22"/>
              </w:rPr>
              <w:t>.</w:t>
            </w:r>
            <w:proofErr w:type="gramEnd"/>
            <w:r w:rsidR="001C0A84" w:rsidRPr="008D3AC0">
              <w:rPr>
                <w:rFonts w:ascii="Arial Narrow" w:hAnsi="Arial Narrow" w:cs="Arial"/>
                <w:sz w:val="22"/>
                <w:szCs w:val="22"/>
              </w:rPr>
              <w:t xml:space="preserve"> moving from </w:t>
            </w:r>
            <w:r w:rsidR="00820230" w:rsidRPr="008D3AC0">
              <w:rPr>
                <w:rFonts w:ascii="Arial Narrow" w:hAnsi="Arial Narrow" w:cs="Arial"/>
                <w:sz w:val="22"/>
                <w:szCs w:val="22"/>
              </w:rPr>
              <w:t xml:space="preserve">a </w:t>
            </w:r>
            <w:r w:rsidR="001C0A84" w:rsidRPr="008D3AC0">
              <w:rPr>
                <w:rFonts w:ascii="Arial Narrow" w:hAnsi="Arial Narrow" w:cs="Arial"/>
                <w:sz w:val="22"/>
                <w:szCs w:val="22"/>
              </w:rPr>
              <w:t>small phase 1 trial to a large phase 3 trial</w:t>
            </w:r>
            <w:r w:rsidR="00820230" w:rsidRPr="008D3AC0">
              <w:rPr>
                <w:rFonts w:ascii="Arial Narrow" w:hAnsi="Arial Narrow" w:cs="Arial"/>
                <w:sz w:val="22"/>
                <w:szCs w:val="22"/>
              </w:rPr>
              <w:t>)</w:t>
            </w:r>
          </w:p>
        </w:tc>
      </w:tr>
    </w:tbl>
    <w:p w14:paraId="0C876424" w14:textId="77777777" w:rsidR="00824CD1" w:rsidRPr="002A5DBD" w:rsidRDefault="00824CD1" w:rsidP="005954C5">
      <w:pPr>
        <w:rPr>
          <w:rFonts w:ascii="Arial" w:hAnsi="Arial" w:cs="Arial"/>
          <w:sz w:val="18"/>
          <w:szCs w:val="20"/>
        </w:rPr>
      </w:pPr>
    </w:p>
    <w:sectPr w:rsidR="00824CD1" w:rsidRPr="002A5DBD" w:rsidSect="00444CA0">
      <w:footerReference w:type="default" r:id="rId16"/>
      <w:headerReference w:type="first" r:id="rId17"/>
      <w:footerReference w:type="first" r:id="rId18"/>
      <w:footnotePr>
        <w:numFmt w:val="chicago"/>
      </w:footnotePr>
      <w:pgSz w:w="16840" w:h="11907" w:orient="landscape" w:code="9"/>
      <w:pgMar w:top="1134" w:right="1247" w:bottom="1021" w:left="1247"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F6C1" w14:textId="77777777" w:rsidR="008D3A51" w:rsidRDefault="008D3A51">
      <w:r>
        <w:separator/>
      </w:r>
    </w:p>
  </w:endnote>
  <w:endnote w:type="continuationSeparator" w:id="0">
    <w:p w14:paraId="3017C863" w14:textId="77777777" w:rsidR="008D3A51" w:rsidRDefault="008D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054C" w14:textId="77777777" w:rsidR="00554A04" w:rsidRPr="00EC3355" w:rsidRDefault="00554A04" w:rsidP="003A0B06">
    <w:pPr>
      <w:pBdr>
        <w:top w:val="single" w:sz="8" w:space="1" w:color="auto"/>
      </w:pBdr>
      <w:jc w:val="center"/>
      <w:rPr>
        <w:noProof/>
        <w:sz w:val="20"/>
        <w:szCs w:val="20"/>
      </w:rPr>
    </w:pPr>
    <w:r w:rsidRPr="00EC3355">
      <w:rPr>
        <w:noProof/>
        <w:sz w:val="20"/>
        <w:szCs w:val="20"/>
      </w:rPr>
      <w:t xml:space="preserve">Address: </w:t>
    </w:r>
    <w:r w:rsidRPr="004016BC">
      <w:rPr>
        <w:noProof/>
        <w:sz w:val="20"/>
        <w:szCs w:val="20"/>
      </w:rPr>
      <w:t>MDP 54 GPO Box 9848 Canberra ACT 2601</w:t>
    </w:r>
    <w:r w:rsidRPr="00EC3355">
      <w:rPr>
        <w:noProof/>
        <w:sz w:val="20"/>
        <w:szCs w:val="20"/>
      </w:rPr>
      <w:t xml:space="preserve">  Website: www.ogtr.gov.au</w:t>
    </w:r>
  </w:p>
  <w:p w14:paraId="7D730D9F" w14:textId="0D01D2BE" w:rsidR="00554A04" w:rsidRDefault="00554A04" w:rsidP="003A0B06">
    <w:pPr>
      <w:pStyle w:val="Footer"/>
      <w:jc w:val="center"/>
    </w:pPr>
    <w:r>
      <w:rPr>
        <w:noProof/>
        <w:sz w:val="20"/>
        <w:szCs w:val="20"/>
      </w:rPr>
      <w:t xml:space="preserve">Telephone: 1800 181 030  </w:t>
    </w:r>
    <w:r w:rsidR="00AA1E28">
      <w:rPr>
        <w:noProof/>
        <w:sz w:val="20"/>
        <w:szCs w:val="20"/>
      </w:rPr>
      <w:t>Email: ogtr@health.gov.au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3F73" w14:textId="2060887E" w:rsidR="007F368A" w:rsidRPr="00E6429D" w:rsidRDefault="00E6429D" w:rsidP="0032030D">
    <w:pPr>
      <w:pStyle w:val="Footer"/>
      <w:tabs>
        <w:tab w:val="clear" w:pos="4153"/>
        <w:tab w:val="clear" w:pos="8306"/>
        <w:tab w:val="center" w:pos="7797"/>
        <w:tab w:val="right" w:pos="14601"/>
      </w:tabs>
      <w:ind w:left="-284" w:right="-255"/>
    </w:pPr>
    <w:r w:rsidRPr="00E6429D">
      <w:rPr>
        <w:rFonts w:ascii="Arial" w:hAnsi="Arial" w:cs="Arial"/>
        <w:sz w:val="18"/>
        <w:szCs w:val="20"/>
      </w:rPr>
      <w:t>Policy on scope for variation of GMO licences</w:t>
    </w:r>
    <w:r>
      <w:rPr>
        <w:rFonts w:ascii="Arial" w:hAnsi="Arial" w:cs="Arial"/>
        <w:sz w:val="18"/>
        <w:szCs w:val="20"/>
      </w:rPr>
      <w:tab/>
    </w:r>
    <w:r w:rsidR="001C5879">
      <w:rPr>
        <w:rFonts w:ascii="Arial" w:hAnsi="Arial" w:cs="Arial"/>
        <w:sz w:val="18"/>
        <w:szCs w:val="20"/>
      </w:rPr>
      <w:t>March</w:t>
    </w:r>
    <w:r w:rsidR="00332264">
      <w:rPr>
        <w:rFonts w:ascii="Arial" w:hAnsi="Arial" w:cs="Arial"/>
        <w:sz w:val="18"/>
        <w:szCs w:val="20"/>
      </w:rPr>
      <w:t xml:space="preserve"> 2024</w:t>
    </w:r>
    <w:r w:rsidR="00006E73">
      <w:rPr>
        <w:rFonts w:ascii="Arial" w:hAnsi="Arial" w:cs="Arial"/>
        <w:sz w:val="18"/>
        <w:szCs w:val="20"/>
      </w:rPr>
      <w:tab/>
    </w:r>
    <w:r w:rsidRPr="00E6429D">
      <w:rPr>
        <w:rFonts w:ascii="Arial" w:hAnsi="Arial" w:cs="Arial"/>
        <w:sz w:val="18"/>
        <w:szCs w:val="20"/>
      </w:rPr>
      <w:fldChar w:fldCharType="begin"/>
    </w:r>
    <w:r w:rsidRPr="00E6429D">
      <w:rPr>
        <w:rFonts w:ascii="Arial" w:hAnsi="Arial" w:cs="Arial"/>
        <w:sz w:val="18"/>
        <w:szCs w:val="20"/>
      </w:rPr>
      <w:instrText xml:space="preserve"> PAGE   \* MERGEFORMAT </w:instrText>
    </w:r>
    <w:r w:rsidRPr="00E6429D">
      <w:rPr>
        <w:rFonts w:ascii="Arial" w:hAnsi="Arial" w:cs="Arial"/>
        <w:sz w:val="18"/>
        <w:szCs w:val="20"/>
      </w:rPr>
      <w:fldChar w:fldCharType="separate"/>
    </w:r>
    <w:r w:rsidR="00224AA8">
      <w:rPr>
        <w:rFonts w:ascii="Arial" w:hAnsi="Arial" w:cs="Arial"/>
        <w:noProof/>
        <w:sz w:val="18"/>
        <w:szCs w:val="20"/>
      </w:rPr>
      <w:t>3</w:t>
    </w:r>
    <w:r w:rsidRPr="00E6429D">
      <w:rPr>
        <w:rFonts w:ascii="Arial" w:hAnsi="Arial" w:cs="Arial"/>
        <w:noProof/>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7725" w14:textId="77777777" w:rsidR="00554A04" w:rsidRPr="005554B0" w:rsidRDefault="00554A04" w:rsidP="00A52E64">
    <w:pPr>
      <w:pStyle w:val="Footer"/>
      <w:tabs>
        <w:tab w:val="right" w:pos="14175"/>
      </w:tabs>
      <w:rPr>
        <w:rFonts w:ascii="Arial" w:hAnsi="Arial" w:cs="Arial"/>
        <w:sz w:val="18"/>
        <w:szCs w:val="20"/>
      </w:rPr>
    </w:pPr>
    <w:r w:rsidRPr="005554B0">
      <w:rPr>
        <w:rFonts w:ascii="Arial" w:hAnsi="Arial" w:cs="Arial"/>
        <w:snapToGrid w:val="0"/>
        <w:sz w:val="18"/>
        <w:szCs w:val="20"/>
      </w:rPr>
      <w:t>Office of the Gene Technology Regulator – Policy on scope for variation of GMO licenses (</w:t>
    </w:r>
    <w:r w:rsidR="005554B0" w:rsidRPr="005554B0">
      <w:rPr>
        <w:rFonts w:ascii="Arial" w:hAnsi="Arial" w:cs="Arial"/>
        <w:snapToGrid w:val="0"/>
        <w:color w:val="FF0000"/>
        <w:sz w:val="18"/>
        <w:szCs w:val="20"/>
      </w:rPr>
      <w:t>October 2014</w:t>
    </w:r>
    <w:r w:rsidRPr="005554B0">
      <w:rPr>
        <w:rFonts w:ascii="Arial" w:hAnsi="Arial" w:cs="Arial"/>
        <w:snapToGrid w:val="0"/>
        <w:sz w:val="18"/>
        <w:szCs w:val="20"/>
      </w:rPr>
      <w:t>)</w:t>
    </w:r>
    <w:r w:rsidRPr="005554B0">
      <w:rPr>
        <w:rFonts w:ascii="Arial" w:hAnsi="Arial" w:cs="Arial"/>
        <w:snapToGrid w:val="0"/>
        <w:sz w:val="18"/>
        <w:szCs w:val="20"/>
      </w:rPr>
      <w:tab/>
    </w:r>
    <w:r w:rsidRPr="005554B0">
      <w:rPr>
        <w:rStyle w:val="PageNumber"/>
        <w:rFonts w:ascii="Arial" w:hAnsi="Arial" w:cs="Arial"/>
        <w:sz w:val="18"/>
        <w:szCs w:val="20"/>
      </w:rPr>
      <w:fldChar w:fldCharType="begin"/>
    </w:r>
    <w:r w:rsidRPr="005554B0">
      <w:rPr>
        <w:rStyle w:val="PageNumber"/>
        <w:rFonts w:ascii="Arial" w:hAnsi="Arial" w:cs="Arial"/>
        <w:sz w:val="18"/>
        <w:szCs w:val="20"/>
      </w:rPr>
      <w:instrText xml:space="preserve"> PAGE </w:instrText>
    </w:r>
    <w:r w:rsidRPr="005554B0">
      <w:rPr>
        <w:rStyle w:val="PageNumber"/>
        <w:rFonts w:ascii="Arial" w:hAnsi="Arial" w:cs="Arial"/>
        <w:sz w:val="18"/>
        <w:szCs w:val="20"/>
      </w:rPr>
      <w:fldChar w:fldCharType="separate"/>
    </w:r>
    <w:r w:rsidR="007F368A">
      <w:rPr>
        <w:rStyle w:val="PageNumber"/>
        <w:rFonts w:ascii="Arial" w:hAnsi="Arial" w:cs="Arial"/>
        <w:noProof/>
        <w:sz w:val="18"/>
        <w:szCs w:val="20"/>
      </w:rPr>
      <w:t>2</w:t>
    </w:r>
    <w:r w:rsidRPr="005554B0">
      <w:rPr>
        <w:rStyle w:val="PageNumber"/>
        <w:rFonts w:ascii="Arial" w:hAnsi="Arial" w:cs="Arial"/>
        <w:sz w:val="18"/>
        <w:szCs w:val="20"/>
      </w:rPr>
      <w:fldChar w:fldCharType="end"/>
    </w:r>
    <w:r w:rsidRPr="005554B0">
      <w:rPr>
        <w:rStyle w:val="PageNumber"/>
        <w:rFonts w:ascii="Arial" w:hAnsi="Arial" w:cs="Arial"/>
        <w:sz w:val="18"/>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EFCB" w14:textId="77777777" w:rsidR="008D3A51" w:rsidRDefault="008D3A51">
      <w:r>
        <w:separator/>
      </w:r>
    </w:p>
  </w:footnote>
  <w:footnote w:type="continuationSeparator" w:id="0">
    <w:p w14:paraId="62EFF9D1" w14:textId="77777777" w:rsidR="008D3A51" w:rsidRDefault="008D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2E08" w14:textId="226519B5" w:rsidR="00554A04" w:rsidRPr="0032030D" w:rsidRDefault="005374EB" w:rsidP="0032030D">
    <w:pPr>
      <w:pStyle w:val="Header"/>
      <w:tabs>
        <w:tab w:val="clear" w:pos="8306"/>
        <w:tab w:val="right" w:pos="9356"/>
      </w:tabs>
      <w:ind w:left="-142"/>
      <w:jc w:val="right"/>
      <w:rPr>
        <w:rFonts w:ascii="Arial" w:hAnsi="Arial" w:cs="Arial"/>
        <w:sz w:val="20"/>
        <w:szCs w:val="22"/>
      </w:rPr>
    </w:pPr>
    <w:r>
      <w:rPr>
        <w:noProof/>
      </w:rPr>
      <w:drawing>
        <wp:inline distT="0" distB="0" distL="0" distR="0" wp14:anchorId="7EF5F869" wp14:editId="3D47C3F0">
          <wp:extent cx="3200400" cy="73361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2391" cy="750119"/>
                  </a:xfrm>
                  <a:prstGeom prst="rect">
                    <a:avLst/>
                  </a:prstGeom>
                  <a:noFill/>
                  <a:ln>
                    <a:noFill/>
                  </a:ln>
                </pic:spPr>
              </pic:pic>
            </a:graphicData>
          </a:graphic>
        </wp:inline>
      </w:drawing>
    </w:r>
    <w:r w:rsidR="00554A04" w:rsidRPr="005554B0">
      <w:rPr>
        <w:rFonts w:ascii="Arial" w:hAnsi="Arial" w:cs="Arial"/>
        <w:sz w:val="14"/>
      </w:rPr>
      <w:tab/>
    </w:r>
    <w:r w:rsidR="001C5879">
      <w:rPr>
        <w:rFonts w:ascii="Arial" w:hAnsi="Arial" w:cs="Arial"/>
        <w:b/>
        <w:bCs/>
        <w:sz w:val="20"/>
        <w:szCs w:val="22"/>
      </w:rPr>
      <w:t>March</w:t>
    </w:r>
    <w:r>
      <w:rPr>
        <w:rFonts w:ascii="Arial" w:hAnsi="Arial" w:cs="Arial"/>
        <w:b/>
        <w:bCs/>
        <w:sz w:val="20"/>
        <w:szCs w:val="22"/>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886A" w14:textId="77777777" w:rsidR="00554A04" w:rsidRPr="00946033" w:rsidRDefault="00554A04" w:rsidP="00946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92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0D7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D06D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C306D2"/>
    <w:multiLevelType w:val="singleLevel"/>
    <w:tmpl w:val="ACF4AF1E"/>
    <w:lvl w:ilvl="0">
      <w:start w:val="1"/>
      <w:numFmt w:val="decimal"/>
      <w:lvlText w:val="(%1)"/>
      <w:lvlJc w:val="left"/>
      <w:pPr>
        <w:tabs>
          <w:tab w:val="num" w:pos="1140"/>
        </w:tabs>
        <w:ind w:left="1140" w:hanging="570"/>
      </w:pPr>
      <w:rPr>
        <w:rFonts w:hint="default"/>
      </w:rPr>
    </w:lvl>
  </w:abstractNum>
  <w:abstractNum w:abstractNumId="4" w15:restartNumberingAfterBreak="0">
    <w:nsid w:val="081E12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D742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9B7C26"/>
    <w:multiLevelType w:val="singleLevel"/>
    <w:tmpl w:val="39722576"/>
    <w:lvl w:ilvl="0">
      <w:start w:val="3"/>
      <w:numFmt w:val="lowerLetter"/>
      <w:lvlText w:val="(%1)"/>
      <w:lvlJc w:val="left"/>
      <w:pPr>
        <w:tabs>
          <w:tab w:val="num" w:pos="1692"/>
        </w:tabs>
        <w:ind w:left="1692" w:hanging="555"/>
      </w:pPr>
      <w:rPr>
        <w:rFonts w:hint="default"/>
      </w:rPr>
    </w:lvl>
  </w:abstractNum>
  <w:abstractNum w:abstractNumId="7" w15:restartNumberingAfterBreak="0">
    <w:nsid w:val="12626BE1"/>
    <w:multiLevelType w:val="hybridMultilevel"/>
    <w:tmpl w:val="ED40593E"/>
    <w:lvl w:ilvl="0" w:tplc="4C9C5B8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642"/>
        </w:tabs>
        <w:ind w:left="642" w:hanging="360"/>
      </w:pPr>
      <w:rPr>
        <w:rFonts w:ascii="Courier New" w:hAnsi="Courier New" w:hint="default"/>
      </w:rPr>
    </w:lvl>
    <w:lvl w:ilvl="2" w:tplc="0C090005" w:tentative="1">
      <w:start w:val="1"/>
      <w:numFmt w:val="bullet"/>
      <w:lvlText w:val=""/>
      <w:lvlJc w:val="left"/>
      <w:pPr>
        <w:tabs>
          <w:tab w:val="num" w:pos="1362"/>
        </w:tabs>
        <w:ind w:left="1362" w:hanging="360"/>
      </w:pPr>
      <w:rPr>
        <w:rFonts w:ascii="Wingdings" w:hAnsi="Wingdings" w:hint="default"/>
      </w:rPr>
    </w:lvl>
    <w:lvl w:ilvl="3" w:tplc="0C090001" w:tentative="1">
      <w:start w:val="1"/>
      <w:numFmt w:val="bullet"/>
      <w:lvlText w:val=""/>
      <w:lvlJc w:val="left"/>
      <w:pPr>
        <w:tabs>
          <w:tab w:val="num" w:pos="2082"/>
        </w:tabs>
        <w:ind w:left="2082" w:hanging="360"/>
      </w:pPr>
      <w:rPr>
        <w:rFonts w:ascii="Symbol" w:hAnsi="Symbol" w:hint="default"/>
      </w:rPr>
    </w:lvl>
    <w:lvl w:ilvl="4" w:tplc="0C090003" w:tentative="1">
      <w:start w:val="1"/>
      <w:numFmt w:val="bullet"/>
      <w:lvlText w:val="o"/>
      <w:lvlJc w:val="left"/>
      <w:pPr>
        <w:tabs>
          <w:tab w:val="num" w:pos="2802"/>
        </w:tabs>
        <w:ind w:left="2802" w:hanging="360"/>
      </w:pPr>
      <w:rPr>
        <w:rFonts w:ascii="Courier New" w:hAnsi="Courier New" w:hint="default"/>
      </w:rPr>
    </w:lvl>
    <w:lvl w:ilvl="5" w:tplc="0C090005" w:tentative="1">
      <w:start w:val="1"/>
      <w:numFmt w:val="bullet"/>
      <w:lvlText w:val=""/>
      <w:lvlJc w:val="left"/>
      <w:pPr>
        <w:tabs>
          <w:tab w:val="num" w:pos="3522"/>
        </w:tabs>
        <w:ind w:left="3522" w:hanging="360"/>
      </w:pPr>
      <w:rPr>
        <w:rFonts w:ascii="Wingdings" w:hAnsi="Wingdings" w:hint="default"/>
      </w:rPr>
    </w:lvl>
    <w:lvl w:ilvl="6" w:tplc="0C090001" w:tentative="1">
      <w:start w:val="1"/>
      <w:numFmt w:val="bullet"/>
      <w:lvlText w:val=""/>
      <w:lvlJc w:val="left"/>
      <w:pPr>
        <w:tabs>
          <w:tab w:val="num" w:pos="4242"/>
        </w:tabs>
        <w:ind w:left="4242" w:hanging="360"/>
      </w:pPr>
      <w:rPr>
        <w:rFonts w:ascii="Symbol" w:hAnsi="Symbol" w:hint="default"/>
      </w:rPr>
    </w:lvl>
    <w:lvl w:ilvl="7" w:tplc="0C090003" w:tentative="1">
      <w:start w:val="1"/>
      <w:numFmt w:val="bullet"/>
      <w:lvlText w:val="o"/>
      <w:lvlJc w:val="left"/>
      <w:pPr>
        <w:tabs>
          <w:tab w:val="num" w:pos="4962"/>
        </w:tabs>
        <w:ind w:left="4962" w:hanging="360"/>
      </w:pPr>
      <w:rPr>
        <w:rFonts w:ascii="Courier New" w:hAnsi="Courier New" w:hint="default"/>
      </w:rPr>
    </w:lvl>
    <w:lvl w:ilvl="8" w:tplc="0C090005" w:tentative="1">
      <w:start w:val="1"/>
      <w:numFmt w:val="bullet"/>
      <w:lvlText w:val=""/>
      <w:lvlJc w:val="left"/>
      <w:pPr>
        <w:tabs>
          <w:tab w:val="num" w:pos="5682"/>
        </w:tabs>
        <w:ind w:left="5682" w:hanging="360"/>
      </w:pPr>
      <w:rPr>
        <w:rFonts w:ascii="Wingdings" w:hAnsi="Wingdings" w:hint="default"/>
      </w:rPr>
    </w:lvl>
  </w:abstractNum>
  <w:abstractNum w:abstractNumId="8" w15:restartNumberingAfterBreak="0">
    <w:nsid w:val="13E60E2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74144A3"/>
    <w:multiLevelType w:val="singleLevel"/>
    <w:tmpl w:val="C1E4E866"/>
    <w:lvl w:ilvl="0">
      <w:start w:val="1"/>
      <w:numFmt w:val="decimal"/>
      <w:lvlText w:val="(%1)"/>
      <w:lvlJc w:val="left"/>
      <w:pPr>
        <w:tabs>
          <w:tab w:val="num" w:pos="1140"/>
        </w:tabs>
        <w:ind w:left="1140" w:hanging="570"/>
      </w:pPr>
      <w:rPr>
        <w:rFonts w:hint="default"/>
      </w:rPr>
    </w:lvl>
  </w:abstractNum>
  <w:abstractNum w:abstractNumId="10" w15:restartNumberingAfterBreak="0">
    <w:nsid w:val="17DA3F8D"/>
    <w:multiLevelType w:val="singleLevel"/>
    <w:tmpl w:val="92C86E2C"/>
    <w:lvl w:ilvl="0">
      <w:start w:val="4"/>
      <w:numFmt w:val="decimal"/>
      <w:lvlText w:val="(%1)"/>
      <w:lvlJc w:val="left"/>
      <w:pPr>
        <w:tabs>
          <w:tab w:val="num" w:pos="1140"/>
        </w:tabs>
        <w:ind w:left="1140" w:hanging="570"/>
      </w:pPr>
      <w:rPr>
        <w:rFonts w:hint="default"/>
      </w:rPr>
    </w:lvl>
  </w:abstractNum>
  <w:abstractNum w:abstractNumId="11" w15:restartNumberingAfterBreak="0">
    <w:nsid w:val="1B62323A"/>
    <w:multiLevelType w:val="singleLevel"/>
    <w:tmpl w:val="0C090001"/>
    <w:lvl w:ilvl="0">
      <w:start w:val="1"/>
      <w:numFmt w:val="bullet"/>
      <w:lvlText w:val=""/>
      <w:lvlJc w:val="left"/>
      <w:pPr>
        <w:tabs>
          <w:tab w:val="num" w:pos="649"/>
        </w:tabs>
        <w:ind w:left="649" w:hanging="360"/>
      </w:pPr>
      <w:rPr>
        <w:rFonts w:ascii="Symbol" w:hAnsi="Symbol" w:hint="default"/>
      </w:rPr>
    </w:lvl>
  </w:abstractNum>
  <w:abstractNum w:abstractNumId="12" w15:restartNumberingAfterBreak="0">
    <w:nsid w:val="2ECB5004"/>
    <w:multiLevelType w:val="hybridMultilevel"/>
    <w:tmpl w:val="D78CD7E4"/>
    <w:lvl w:ilvl="0" w:tplc="E3A4A074">
      <w:start w:val="1"/>
      <w:numFmt w:val="bullet"/>
      <w:lvlText w:val="­"/>
      <w:lvlJc w:val="left"/>
      <w:pPr>
        <w:tabs>
          <w:tab w:val="num" w:pos="587"/>
        </w:tabs>
        <w:ind w:left="587" w:hanging="360"/>
      </w:pPr>
      <w:rPr>
        <w:rFonts w:ascii="Courier New" w:hAnsi="Courier New" w:hint="default"/>
      </w:rPr>
    </w:lvl>
    <w:lvl w:ilvl="1" w:tplc="0C090003">
      <w:start w:val="1"/>
      <w:numFmt w:val="bullet"/>
      <w:lvlText w:val="o"/>
      <w:lvlJc w:val="left"/>
      <w:pPr>
        <w:tabs>
          <w:tab w:val="num" w:pos="947"/>
        </w:tabs>
        <w:ind w:left="947" w:hanging="360"/>
      </w:pPr>
      <w:rPr>
        <w:rFonts w:ascii="Courier New" w:hAnsi="Courier New" w:hint="default"/>
      </w:rPr>
    </w:lvl>
    <w:lvl w:ilvl="2" w:tplc="0C090005">
      <w:start w:val="1"/>
      <w:numFmt w:val="bullet"/>
      <w:lvlText w:val=""/>
      <w:lvlJc w:val="left"/>
      <w:pPr>
        <w:tabs>
          <w:tab w:val="num" w:pos="1667"/>
        </w:tabs>
        <w:ind w:left="1667" w:hanging="360"/>
      </w:pPr>
      <w:rPr>
        <w:rFonts w:ascii="Wingdings" w:hAnsi="Wingdings" w:hint="default"/>
      </w:rPr>
    </w:lvl>
    <w:lvl w:ilvl="3" w:tplc="0C090001">
      <w:start w:val="1"/>
      <w:numFmt w:val="bullet"/>
      <w:lvlText w:val=""/>
      <w:lvlJc w:val="left"/>
      <w:pPr>
        <w:tabs>
          <w:tab w:val="num" w:pos="2387"/>
        </w:tabs>
        <w:ind w:left="2387" w:hanging="360"/>
      </w:pPr>
      <w:rPr>
        <w:rFonts w:ascii="Symbol" w:hAnsi="Symbol" w:hint="default"/>
      </w:rPr>
    </w:lvl>
    <w:lvl w:ilvl="4" w:tplc="0C090003">
      <w:start w:val="1"/>
      <w:numFmt w:val="bullet"/>
      <w:lvlText w:val="o"/>
      <w:lvlJc w:val="left"/>
      <w:pPr>
        <w:tabs>
          <w:tab w:val="num" w:pos="3107"/>
        </w:tabs>
        <w:ind w:left="3107" w:hanging="360"/>
      </w:pPr>
      <w:rPr>
        <w:rFonts w:ascii="Courier New" w:hAnsi="Courier New" w:hint="default"/>
      </w:rPr>
    </w:lvl>
    <w:lvl w:ilvl="5" w:tplc="0C090005">
      <w:start w:val="1"/>
      <w:numFmt w:val="bullet"/>
      <w:lvlText w:val=""/>
      <w:lvlJc w:val="left"/>
      <w:pPr>
        <w:tabs>
          <w:tab w:val="num" w:pos="3827"/>
        </w:tabs>
        <w:ind w:left="3827" w:hanging="360"/>
      </w:pPr>
      <w:rPr>
        <w:rFonts w:ascii="Wingdings" w:hAnsi="Wingdings" w:hint="default"/>
      </w:rPr>
    </w:lvl>
    <w:lvl w:ilvl="6" w:tplc="0C090001">
      <w:start w:val="1"/>
      <w:numFmt w:val="bullet"/>
      <w:lvlText w:val=""/>
      <w:lvlJc w:val="left"/>
      <w:pPr>
        <w:tabs>
          <w:tab w:val="num" w:pos="4547"/>
        </w:tabs>
        <w:ind w:left="4547" w:hanging="360"/>
      </w:pPr>
      <w:rPr>
        <w:rFonts w:ascii="Symbol" w:hAnsi="Symbol" w:hint="default"/>
      </w:rPr>
    </w:lvl>
    <w:lvl w:ilvl="7" w:tplc="0C090003">
      <w:start w:val="1"/>
      <w:numFmt w:val="bullet"/>
      <w:lvlText w:val="o"/>
      <w:lvlJc w:val="left"/>
      <w:pPr>
        <w:tabs>
          <w:tab w:val="num" w:pos="5267"/>
        </w:tabs>
        <w:ind w:left="5267" w:hanging="360"/>
      </w:pPr>
      <w:rPr>
        <w:rFonts w:ascii="Courier New" w:hAnsi="Courier New" w:hint="default"/>
      </w:rPr>
    </w:lvl>
    <w:lvl w:ilvl="8" w:tplc="0C090005">
      <w:start w:val="1"/>
      <w:numFmt w:val="bullet"/>
      <w:lvlText w:val=""/>
      <w:lvlJc w:val="left"/>
      <w:pPr>
        <w:tabs>
          <w:tab w:val="num" w:pos="5987"/>
        </w:tabs>
        <w:ind w:left="5987" w:hanging="360"/>
      </w:pPr>
      <w:rPr>
        <w:rFonts w:ascii="Wingdings" w:hAnsi="Wingdings" w:hint="default"/>
      </w:rPr>
    </w:lvl>
  </w:abstractNum>
  <w:abstractNum w:abstractNumId="13" w15:restartNumberingAfterBreak="0">
    <w:nsid w:val="33324703"/>
    <w:multiLevelType w:val="singleLevel"/>
    <w:tmpl w:val="2188A994"/>
    <w:lvl w:ilvl="0">
      <w:start w:val="2"/>
      <w:numFmt w:val="lowerLetter"/>
      <w:lvlText w:val="(%1)"/>
      <w:lvlJc w:val="left"/>
      <w:pPr>
        <w:tabs>
          <w:tab w:val="num" w:pos="1692"/>
        </w:tabs>
        <w:ind w:left="1692" w:hanging="555"/>
      </w:pPr>
      <w:rPr>
        <w:rFonts w:hint="default"/>
      </w:rPr>
    </w:lvl>
  </w:abstractNum>
  <w:abstractNum w:abstractNumId="14" w15:restartNumberingAfterBreak="0">
    <w:nsid w:val="351239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5F13C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5F04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9869A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3345773"/>
    <w:multiLevelType w:val="hybridMultilevel"/>
    <w:tmpl w:val="5936FCD8"/>
    <w:lvl w:ilvl="0" w:tplc="729E757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3B6927"/>
    <w:multiLevelType w:val="singleLevel"/>
    <w:tmpl w:val="AB989504"/>
    <w:lvl w:ilvl="0">
      <w:start w:val="3"/>
      <w:numFmt w:val="lowerLetter"/>
      <w:lvlText w:val="(%1)"/>
      <w:lvlJc w:val="left"/>
      <w:pPr>
        <w:tabs>
          <w:tab w:val="num" w:pos="1692"/>
        </w:tabs>
        <w:ind w:left="1692" w:hanging="555"/>
      </w:pPr>
      <w:rPr>
        <w:rFonts w:hint="default"/>
      </w:rPr>
    </w:lvl>
  </w:abstractNum>
  <w:abstractNum w:abstractNumId="20" w15:restartNumberingAfterBreak="0">
    <w:nsid w:val="487D219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88D02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1D2C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4811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4C3C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1365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A5C6E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3F2A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06628D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68F66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2C7E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AD229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2A777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C377E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4624F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F3475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9961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4E364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E84C0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5E535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3C583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B12454F"/>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602494948">
    <w:abstractNumId w:val="17"/>
  </w:num>
  <w:num w:numId="2" w16cid:durableId="1769616015">
    <w:abstractNumId w:val="5"/>
  </w:num>
  <w:num w:numId="3" w16cid:durableId="1501120440">
    <w:abstractNumId w:val="0"/>
  </w:num>
  <w:num w:numId="4" w16cid:durableId="1253975461">
    <w:abstractNumId w:val="2"/>
  </w:num>
  <w:num w:numId="5" w16cid:durableId="123617640">
    <w:abstractNumId w:val="38"/>
  </w:num>
  <w:num w:numId="6" w16cid:durableId="445009171">
    <w:abstractNumId w:val="3"/>
  </w:num>
  <w:num w:numId="7" w16cid:durableId="1957519661">
    <w:abstractNumId w:val="19"/>
  </w:num>
  <w:num w:numId="8" w16cid:durableId="1571232719">
    <w:abstractNumId w:val="9"/>
  </w:num>
  <w:num w:numId="9" w16cid:durableId="1832983983">
    <w:abstractNumId w:val="6"/>
  </w:num>
  <w:num w:numId="10" w16cid:durableId="1135872201">
    <w:abstractNumId w:val="13"/>
  </w:num>
  <w:num w:numId="11" w16cid:durableId="1210000329">
    <w:abstractNumId w:val="10"/>
  </w:num>
  <w:num w:numId="12" w16cid:durableId="1606692875">
    <w:abstractNumId w:val="40"/>
  </w:num>
  <w:num w:numId="13" w16cid:durableId="1624537518">
    <w:abstractNumId w:val="28"/>
  </w:num>
  <w:num w:numId="14" w16cid:durableId="1599096821">
    <w:abstractNumId w:val="31"/>
  </w:num>
  <w:num w:numId="15" w16cid:durableId="56586918">
    <w:abstractNumId w:val="20"/>
  </w:num>
  <w:num w:numId="16" w16cid:durableId="1501235816">
    <w:abstractNumId w:val="8"/>
  </w:num>
  <w:num w:numId="17" w16cid:durableId="2067678999">
    <w:abstractNumId w:val="25"/>
  </w:num>
  <w:num w:numId="18" w16cid:durableId="586185506">
    <w:abstractNumId w:val="41"/>
  </w:num>
  <w:num w:numId="19" w16cid:durableId="2087267543">
    <w:abstractNumId w:val="15"/>
  </w:num>
  <w:num w:numId="20" w16cid:durableId="1654067332">
    <w:abstractNumId w:val="37"/>
  </w:num>
  <w:num w:numId="21" w16cid:durableId="481851447">
    <w:abstractNumId w:val="23"/>
  </w:num>
  <w:num w:numId="22" w16cid:durableId="994839128">
    <w:abstractNumId w:val="24"/>
  </w:num>
  <w:num w:numId="23" w16cid:durableId="680008870">
    <w:abstractNumId w:val="29"/>
  </w:num>
  <w:num w:numId="24" w16cid:durableId="2067945654">
    <w:abstractNumId w:val="27"/>
  </w:num>
  <w:num w:numId="25" w16cid:durableId="952632931">
    <w:abstractNumId w:val="21"/>
  </w:num>
  <w:num w:numId="26" w16cid:durableId="2043553042">
    <w:abstractNumId w:val="22"/>
  </w:num>
  <w:num w:numId="27" w16cid:durableId="2024355399">
    <w:abstractNumId w:val="32"/>
  </w:num>
  <w:num w:numId="28" w16cid:durableId="2057272350">
    <w:abstractNumId w:val="1"/>
  </w:num>
  <w:num w:numId="29" w16cid:durableId="1005792088">
    <w:abstractNumId w:val="33"/>
  </w:num>
  <w:num w:numId="30" w16cid:durableId="329524140">
    <w:abstractNumId w:val="39"/>
  </w:num>
  <w:num w:numId="31" w16cid:durableId="414059616">
    <w:abstractNumId w:val="36"/>
  </w:num>
  <w:num w:numId="32" w16cid:durableId="2025398399">
    <w:abstractNumId w:val="35"/>
  </w:num>
  <w:num w:numId="33" w16cid:durableId="858784673">
    <w:abstractNumId w:val="26"/>
  </w:num>
  <w:num w:numId="34" w16cid:durableId="1871995004">
    <w:abstractNumId w:val="16"/>
  </w:num>
  <w:num w:numId="35" w16cid:durableId="1352756096">
    <w:abstractNumId w:val="34"/>
  </w:num>
  <w:num w:numId="36" w16cid:durableId="87965124">
    <w:abstractNumId w:val="11"/>
  </w:num>
  <w:num w:numId="37" w16cid:durableId="866602335">
    <w:abstractNumId w:val="4"/>
  </w:num>
  <w:num w:numId="38" w16cid:durableId="1073694993">
    <w:abstractNumId w:val="30"/>
  </w:num>
  <w:num w:numId="39" w16cid:durableId="1643652450">
    <w:abstractNumId w:val="14"/>
  </w:num>
  <w:num w:numId="40" w16cid:durableId="160898439">
    <w:abstractNumId w:val="12"/>
  </w:num>
  <w:num w:numId="41" w16cid:durableId="20202790">
    <w:abstractNumId w:val="7"/>
  </w:num>
  <w:num w:numId="42" w16cid:durableId="1563057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19"/>
    <w:rsid w:val="00001427"/>
    <w:rsid w:val="00002C50"/>
    <w:rsid w:val="00006E73"/>
    <w:rsid w:val="0001154C"/>
    <w:rsid w:val="00015C1B"/>
    <w:rsid w:val="00017FAB"/>
    <w:rsid w:val="00020FDE"/>
    <w:rsid w:val="00031DA7"/>
    <w:rsid w:val="00041AC4"/>
    <w:rsid w:val="00041F59"/>
    <w:rsid w:val="00043261"/>
    <w:rsid w:val="000472F5"/>
    <w:rsid w:val="000604BA"/>
    <w:rsid w:val="00062FAE"/>
    <w:rsid w:val="000643CB"/>
    <w:rsid w:val="0006532D"/>
    <w:rsid w:val="00071CEF"/>
    <w:rsid w:val="00076AB2"/>
    <w:rsid w:val="000812D3"/>
    <w:rsid w:val="000812F2"/>
    <w:rsid w:val="00081B3D"/>
    <w:rsid w:val="00082F7A"/>
    <w:rsid w:val="00090BC5"/>
    <w:rsid w:val="00095755"/>
    <w:rsid w:val="00097802"/>
    <w:rsid w:val="000A5C1F"/>
    <w:rsid w:val="000A6786"/>
    <w:rsid w:val="000B020E"/>
    <w:rsid w:val="000B1826"/>
    <w:rsid w:val="000B4760"/>
    <w:rsid w:val="000D2BF8"/>
    <w:rsid w:val="000D6D78"/>
    <w:rsid w:val="000E13A6"/>
    <w:rsid w:val="000E563B"/>
    <w:rsid w:val="000F53AA"/>
    <w:rsid w:val="00102672"/>
    <w:rsid w:val="001057BC"/>
    <w:rsid w:val="001220FD"/>
    <w:rsid w:val="00125821"/>
    <w:rsid w:val="001325B1"/>
    <w:rsid w:val="00137C19"/>
    <w:rsid w:val="001412DD"/>
    <w:rsid w:val="0014285B"/>
    <w:rsid w:val="001437FB"/>
    <w:rsid w:val="00147319"/>
    <w:rsid w:val="0015001C"/>
    <w:rsid w:val="00162835"/>
    <w:rsid w:val="00165819"/>
    <w:rsid w:val="001673A9"/>
    <w:rsid w:val="0017204E"/>
    <w:rsid w:val="0017393A"/>
    <w:rsid w:val="00175DDF"/>
    <w:rsid w:val="00182A9C"/>
    <w:rsid w:val="001905DE"/>
    <w:rsid w:val="001920E1"/>
    <w:rsid w:val="0019592B"/>
    <w:rsid w:val="001A21F6"/>
    <w:rsid w:val="001A4883"/>
    <w:rsid w:val="001A6E5F"/>
    <w:rsid w:val="001B14AC"/>
    <w:rsid w:val="001B18AF"/>
    <w:rsid w:val="001C0A84"/>
    <w:rsid w:val="001C11FE"/>
    <w:rsid w:val="001C5879"/>
    <w:rsid w:val="001C7993"/>
    <w:rsid w:val="001D13BD"/>
    <w:rsid w:val="001D1D13"/>
    <w:rsid w:val="001E0E5C"/>
    <w:rsid w:val="001E7090"/>
    <w:rsid w:val="001F6570"/>
    <w:rsid w:val="002041C4"/>
    <w:rsid w:val="0021757D"/>
    <w:rsid w:val="00224AA8"/>
    <w:rsid w:val="00225EFE"/>
    <w:rsid w:val="002317EB"/>
    <w:rsid w:val="002344C5"/>
    <w:rsid w:val="00241825"/>
    <w:rsid w:val="002423A4"/>
    <w:rsid w:val="00246E10"/>
    <w:rsid w:val="00251921"/>
    <w:rsid w:val="002609E3"/>
    <w:rsid w:val="00270FF5"/>
    <w:rsid w:val="0027294C"/>
    <w:rsid w:val="00281616"/>
    <w:rsid w:val="00283696"/>
    <w:rsid w:val="00295DFC"/>
    <w:rsid w:val="002A5CBD"/>
    <w:rsid w:val="002A5DBD"/>
    <w:rsid w:val="002B0340"/>
    <w:rsid w:val="002B0342"/>
    <w:rsid w:val="002B3C50"/>
    <w:rsid w:val="002C6F23"/>
    <w:rsid w:val="002D16EF"/>
    <w:rsid w:val="002D5243"/>
    <w:rsid w:val="002D7990"/>
    <w:rsid w:val="002D7BBA"/>
    <w:rsid w:val="002E50EB"/>
    <w:rsid w:val="002F1FB1"/>
    <w:rsid w:val="0031158F"/>
    <w:rsid w:val="00316AE6"/>
    <w:rsid w:val="003175B6"/>
    <w:rsid w:val="0032030D"/>
    <w:rsid w:val="0032074A"/>
    <w:rsid w:val="003231DE"/>
    <w:rsid w:val="00326804"/>
    <w:rsid w:val="00330024"/>
    <w:rsid w:val="003308B5"/>
    <w:rsid w:val="00332264"/>
    <w:rsid w:val="00341638"/>
    <w:rsid w:val="00350CC0"/>
    <w:rsid w:val="00352588"/>
    <w:rsid w:val="0035462A"/>
    <w:rsid w:val="003649D3"/>
    <w:rsid w:val="0036779C"/>
    <w:rsid w:val="0037014A"/>
    <w:rsid w:val="0038198C"/>
    <w:rsid w:val="003869DA"/>
    <w:rsid w:val="00392EFC"/>
    <w:rsid w:val="00397A82"/>
    <w:rsid w:val="003A0B06"/>
    <w:rsid w:val="003B51F4"/>
    <w:rsid w:val="003C4F07"/>
    <w:rsid w:val="003D2FC3"/>
    <w:rsid w:val="003D3C2E"/>
    <w:rsid w:val="003D506F"/>
    <w:rsid w:val="003D7962"/>
    <w:rsid w:val="003E2379"/>
    <w:rsid w:val="003E2B49"/>
    <w:rsid w:val="003F2442"/>
    <w:rsid w:val="003F39D9"/>
    <w:rsid w:val="00401388"/>
    <w:rsid w:val="004016BC"/>
    <w:rsid w:val="004069F9"/>
    <w:rsid w:val="004122FC"/>
    <w:rsid w:val="0041563B"/>
    <w:rsid w:val="004171D2"/>
    <w:rsid w:val="0042062A"/>
    <w:rsid w:val="0042387B"/>
    <w:rsid w:val="004375C3"/>
    <w:rsid w:val="0044322C"/>
    <w:rsid w:val="0044381A"/>
    <w:rsid w:val="004443A8"/>
    <w:rsid w:val="00444CA0"/>
    <w:rsid w:val="004525ED"/>
    <w:rsid w:val="00452EA6"/>
    <w:rsid w:val="004559D1"/>
    <w:rsid w:val="0046232B"/>
    <w:rsid w:val="004638B4"/>
    <w:rsid w:val="00465835"/>
    <w:rsid w:val="0047446C"/>
    <w:rsid w:val="004827E9"/>
    <w:rsid w:val="00483B58"/>
    <w:rsid w:val="00486925"/>
    <w:rsid w:val="00490310"/>
    <w:rsid w:val="00496C04"/>
    <w:rsid w:val="004A11A8"/>
    <w:rsid w:val="004A4AD9"/>
    <w:rsid w:val="004A59DB"/>
    <w:rsid w:val="004B6346"/>
    <w:rsid w:val="004C085A"/>
    <w:rsid w:val="004C28BC"/>
    <w:rsid w:val="004C3DAA"/>
    <w:rsid w:val="004C6120"/>
    <w:rsid w:val="004E1978"/>
    <w:rsid w:val="004E5E7B"/>
    <w:rsid w:val="004E6398"/>
    <w:rsid w:val="005005D3"/>
    <w:rsid w:val="00502D28"/>
    <w:rsid w:val="005058B3"/>
    <w:rsid w:val="005059D6"/>
    <w:rsid w:val="005213ED"/>
    <w:rsid w:val="005221F0"/>
    <w:rsid w:val="005235AB"/>
    <w:rsid w:val="005235F4"/>
    <w:rsid w:val="0052569D"/>
    <w:rsid w:val="0052608A"/>
    <w:rsid w:val="005304EC"/>
    <w:rsid w:val="005374EB"/>
    <w:rsid w:val="005406F3"/>
    <w:rsid w:val="005410FF"/>
    <w:rsid w:val="00554A04"/>
    <w:rsid w:val="005554B0"/>
    <w:rsid w:val="00563F34"/>
    <w:rsid w:val="005714B8"/>
    <w:rsid w:val="005741A2"/>
    <w:rsid w:val="005751D5"/>
    <w:rsid w:val="00577D44"/>
    <w:rsid w:val="00582DEF"/>
    <w:rsid w:val="005954C5"/>
    <w:rsid w:val="00597E87"/>
    <w:rsid w:val="005A0498"/>
    <w:rsid w:val="005A1B7A"/>
    <w:rsid w:val="005B4EAE"/>
    <w:rsid w:val="005B5A2F"/>
    <w:rsid w:val="005B5C4B"/>
    <w:rsid w:val="005B7FA2"/>
    <w:rsid w:val="005C01DE"/>
    <w:rsid w:val="005C16A1"/>
    <w:rsid w:val="005C35FA"/>
    <w:rsid w:val="005F2376"/>
    <w:rsid w:val="005F58D4"/>
    <w:rsid w:val="005F61E8"/>
    <w:rsid w:val="005F63A9"/>
    <w:rsid w:val="006076A4"/>
    <w:rsid w:val="0061349A"/>
    <w:rsid w:val="00613EAC"/>
    <w:rsid w:val="006253B8"/>
    <w:rsid w:val="00625A69"/>
    <w:rsid w:val="00634495"/>
    <w:rsid w:val="0064552C"/>
    <w:rsid w:val="00647207"/>
    <w:rsid w:val="00652606"/>
    <w:rsid w:val="006542AB"/>
    <w:rsid w:val="00655478"/>
    <w:rsid w:val="00657409"/>
    <w:rsid w:val="00657FD2"/>
    <w:rsid w:val="00663165"/>
    <w:rsid w:val="00676C73"/>
    <w:rsid w:val="00677394"/>
    <w:rsid w:val="00684D70"/>
    <w:rsid w:val="00687E21"/>
    <w:rsid w:val="0069700B"/>
    <w:rsid w:val="006A2248"/>
    <w:rsid w:val="006A559B"/>
    <w:rsid w:val="006A70F1"/>
    <w:rsid w:val="006A7337"/>
    <w:rsid w:val="006B074C"/>
    <w:rsid w:val="006B4BE2"/>
    <w:rsid w:val="006B57B2"/>
    <w:rsid w:val="006C26BE"/>
    <w:rsid w:val="006E5A62"/>
    <w:rsid w:val="006F23EE"/>
    <w:rsid w:val="006F5584"/>
    <w:rsid w:val="00702B92"/>
    <w:rsid w:val="0070341F"/>
    <w:rsid w:val="0070388B"/>
    <w:rsid w:val="007039CA"/>
    <w:rsid w:val="0071500F"/>
    <w:rsid w:val="0072223F"/>
    <w:rsid w:val="00723CF4"/>
    <w:rsid w:val="007279CE"/>
    <w:rsid w:val="00730419"/>
    <w:rsid w:val="00730F58"/>
    <w:rsid w:val="00743486"/>
    <w:rsid w:val="00757E52"/>
    <w:rsid w:val="00760B44"/>
    <w:rsid w:val="00762EBF"/>
    <w:rsid w:val="00776BAE"/>
    <w:rsid w:val="007801A9"/>
    <w:rsid w:val="007834BA"/>
    <w:rsid w:val="00785A13"/>
    <w:rsid w:val="0079224C"/>
    <w:rsid w:val="007A1437"/>
    <w:rsid w:val="007A30F8"/>
    <w:rsid w:val="007C6D60"/>
    <w:rsid w:val="007D2009"/>
    <w:rsid w:val="007D210C"/>
    <w:rsid w:val="007D396C"/>
    <w:rsid w:val="007E306C"/>
    <w:rsid w:val="007E6238"/>
    <w:rsid w:val="007F368A"/>
    <w:rsid w:val="007F411E"/>
    <w:rsid w:val="0080047C"/>
    <w:rsid w:val="008007AD"/>
    <w:rsid w:val="00804253"/>
    <w:rsid w:val="00810A06"/>
    <w:rsid w:val="00812CDB"/>
    <w:rsid w:val="00815715"/>
    <w:rsid w:val="00820230"/>
    <w:rsid w:val="00823446"/>
    <w:rsid w:val="00824CD1"/>
    <w:rsid w:val="00834ACB"/>
    <w:rsid w:val="00834AE6"/>
    <w:rsid w:val="0083638D"/>
    <w:rsid w:val="00842AF6"/>
    <w:rsid w:val="00851130"/>
    <w:rsid w:val="008521B8"/>
    <w:rsid w:val="0085357A"/>
    <w:rsid w:val="00854396"/>
    <w:rsid w:val="00856B03"/>
    <w:rsid w:val="008677F3"/>
    <w:rsid w:val="008857A1"/>
    <w:rsid w:val="00885F8D"/>
    <w:rsid w:val="0088752B"/>
    <w:rsid w:val="008948E9"/>
    <w:rsid w:val="008B55B4"/>
    <w:rsid w:val="008C254C"/>
    <w:rsid w:val="008C73CE"/>
    <w:rsid w:val="008D0F34"/>
    <w:rsid w:val="008D36DC"/>
    <w:rsid w:val="008D3A51"/>
    <w:rsid w:val="008D3AC0"/>
    <w:rsid w:val="008F16BA"/>
    <w:rsid w:val="008F6AA4"/>
    <w:rsid w:val="00902BEE"/>
    <w:rsid w:val="00903FF5"/>
    <w:rsid w:val="00915D9D"/>
    <w:rsid w:val="00935AAD"/>
    <w:rsid w:val="00946033"/>
    <w:rsid w:val="00947E12"/>
    <w:rsid w:val="0095439A"/>
    <w:rsid w:val="00970B23"/>
    <w:rsid w:val="0097606C"/>
    <w:rsid w:val="009825A5"/>
    <w:rsid w:val="00985950"/>
    <w:rsid w:val="00992BB4"/>
    <w:rsid w:val="009B51BD"/>
    <w:rsid w:val="009B7284"/>
    <w:rsid w:val="009C4133"/>
    <w:rsid w:val="009D067D"/>
    <w:rsid w:val="009D5446"/>
    <w:rsid w:val="009F4206"/>
    <w:rsid w:val="00A04C18"/>
    <w:rsid w:val="00A1070D"/>
    <w:rsid w:val="00A214A3"/>
    <w:rsid w:val="00A25B04"/>
    <w:rsid w:val="00A31916"/>
    <w:rsid w:val="00A33D5B"/>
    <w:rsid w:val="00A3662B"/>
    <w:rsid w:val="00A401EC"/>
    <w:rsid w:val="00A412D7"/>
    <w:rsid w:val="00A4398F"/>
    <w:rsid w:val="00A45FED"/>
    <w:rsid w:val="00A46E64"/>
    <w:rsid w:val="00A52E64"/>
    <w:rsid w:val="00A545D1"/>
    <w:rsid w:val="00A61D29"/>
    <w:rsid w:val="00A622B4"/>
    <w:rsid w:val="00A727B9"/>
    <w:rsid w:val="00A733C8"/>
    <w:rsid w:val="00A73F61"/>
    <w:rsid w:val="00A768C4"/>
    <w:rsid w:val="00A82335"/>
    <w:rsid w:val="00A84259"/>
    <w:rsid w:val="00A874CC"/>
    <w:rsid w:val="00A91211"/>
    <w:rsid w:val="00A97A6E"/>
    <w:rsid w:val="00AA1E28"/>
    <w:rsid w:val="00AA252C"/>
    <w:rsid w:val="00AB0B84"/>
    <w:rsid w:val="00AB6630"/>
    <w:rsid w:val="00AC5DE7"/>
    <w:rsid w:val="00AE0872"/>
    <w:rsid w:val="00AE2BFC"/>
    <w:rsid w:val="00AE78A1"/>
    <w:rsid w:val="00B037F5"/>
    <w:rsid w:val="00B042DD"/>
    <w:rsid w:val="00B15FBE"/>
    <w:rsid w:val="00B272CC"/>
    <w:rsid w:val="00B2771D"/>
    <w:rsid w:val="00B30439"/>
    <w:rsid w:val="00B332C9"/>
    <w:rsid w:val="00B33520"/>
    <w:rsid w:val="00B4755E"/>
    <w:rsid w:val="00B57CF7"/>
    <w:rsid w:val="00B607FF"/>
    <w:rsid w:val="00B87187"/>
    <w:rsid w:val="00B95FA9"/>
    <w:rsid w:val="00B96E82"/>
    <w:rsid w:val="00BA490C"/>
    <w:rsid w:val="00BB09BA"/>
    <w:rsid w:val="00BB6966"/>
    <w:rsid w:val="00BC0D53"/>
    <w:rsid w:val="00BC27DE"/>
    <w:rsid w:val="00BC636D"/>
    <w:rsid w:val="00BD1B3E"/>
    <w:rsid w:val="00BD4008"/>
    <w:rsid w:val="00BE1FA7"/>
    <w:rsid w:val="00BF5359"/>
    <w:rsid w:val="00C0112F"/>
    <w:rsid w:val="00C02635"/>
    <w:rsid w:val="00C07621"/>
    <w:rsid w:val="00C24633"/>
    <w:rsid w:val="00C25A74"/>
    <w:rsid w:val="00C27828"/>
    <w:rsid w:val="00C27A6A"/>
    <w:rsid w:val="00C36E38"/>
    <w:rsid w:val="00C378D8"/>
    <w:rsid w:val="00C43398"/>
    <w:rsid w:val="00C452D7"/>
    <w:rsid w:val="00C47776"/>
    <w:rsid w:val="00C54EEB"/>
    <w:rsid w:val="00C57856"/>
    <w:rsid w:val="00C60A43"/>
    <w:rsid w:val="00C666E9"/>
    <w:rsid w:val="00C74C3E"/>
    <w:rsid w:val="00C75C7A"/>
    <w:rsid w:val="00C77469"/>
    <w:rsid w:val="00C848CC"/>
    <w:rsid w:val="00CB141A"/>
    <w:rsid w:val="00CD0608"/>
    <w:rsid w:val="00CD3128"/>
    <w:rsid w:val="00CD58FB"/>
    <w:rsid w:val="00CE46A3"/>
    <w:rsid w:val="00CE61DF"/>
    <w:rsid w:val="00CF29A9"/>
    <w:rsid w:val="00CF37BE"/>
    <w:rsid w:val="00D11576"/>
    <w:rsid w:val="00D2483E"/>
    <w:rsid w:val="00D36234"/>
    <w:rsid w:val="00D50628"/>
    <w:rsid w:val="00D570B1"/>
    <w:rsid w:val="00D57639"/>
    <w:rsid w:val="00D61802"/>
    <w:rsid w:val="00D629C7"/>
    <w:rsid w:val="00D779A3"/>
    <w:rsid w:val="00D82673"/>
    <w:rsid w:val="00D86776"/>
    <w:rsid w:val="00D86D96"/>
    <w:rsid w:val="00D96334"/>
    <w:rsid w:val="00DB4F76"/>
    <w:rsid w:val="00DB5A03"/>
    <w:rsid w:val="00DC331F"/>
    <w:rsid w:val="00DC56F6"/>
    <w:rsid w:val="00DD1C08"/>
    <w:rsid w:val="00DD4641"/>
    <w:rsid w:val="00DD5432"/>
    <w:rsid w:val="00DE55F3"/>
    <w:rsid w:val="00DE6BC4"/>
    <w:rsid w:val="00DF2973"/>
    <w:rsid w:val="00E069B7"/>
    <w:rsid w:val="00E11376"/>
    <w:rsid w:val="00E16B4D"/>
    <w:rsid w:val="00E2037A"/>
    <w:rsid w:val="00E238A8"/>
    <w:rsid w:val="00E26959"/>
    <w:rsid w:val="00E3135C"/>
    <w:rsid w:val="00E36490"/>
    <w:rsid w:val="00E45668"/>
    <w:rsid w:val="00E57038"/>
    <w:rsid w:val="00E578D7"/>
    <w:rsid w:val="00E60CD7"/>
    <w:rsid w:val="00E6429D"/>
    <w:rsid w:val="00E6608E"/>
    <w:rsid w:val="00E70030"/>
    <w:rsid w:val="00E82416"/>
    <w:rsid w:val="00E8330A"/>
    <w:rsid w:val="00E84A5C"/>
    <w:rsid w:val="00E87952"/>
    <w:rsid w:val="00EA5CB9"/>
    <w:rsid w:val="00EA73C0"/>
    <w:rsid w:val="00EB0BDE"/>
    <w:rsid w:val="00EB25A9"/>
    <w:rsid w:val="00EB7189"/>
    <w:rsid w:val="00EC2DF0"/>
    <w:rsid w:val="00EC3355"/>
    <w:rsid w:val="00EC5282"/>
    <w:rsid w:val="00EC6504"/>
    <w:rsid w:val="00EE35AE"/>
    <w:rsid w:val="00EE7F46"/>
    <w:rsid w:val="00F02043"/>
    <w:rsid w:val="00F14E11"/>
    <w:rsid w:val="00F25364"/>
    <w:rsid w:val="00F51E67"/>
    <w:rsid w:val="00F62A53"/>
    <w:rsid w:val="00F651D6"/>
    <w:rsid w:val="00F7644E"/>
    <w:rsid w:val="00F77626"/>
    <w:rsid w:val="00F81516"/>
    <w:rsid w:val="00F86394"/>
    <w:rsid w:val="00F8700A"/>
    <w:rsid w:val="00F914F9"/>
    <w:rsid w:val="00F93A60"/>
    <w:rsid w:val="00F95E19"/>
    <w:rsid w:val="00FA28B8"/>
    <w:rsid w:val="00FA68E1"/>
    <w:rsid w:val="00FC0C85"/>
    <w:rsid w:val="00FD389B"/>
    <w:rsid w:val="00FD4EF0"/>
    <w:rsid w:val="00FD5C72"/>
    <w:rsid w:val="00FD79FF"/>
    <w:rsid w:val="00FE0441"/>
    <w:rsid w:val="00FE313E"/>
    <w:rsid w:val="00FE3EC9"/>
    <w:rsid w:val="00FE6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2A65B2"/>
  <w15:docId w15:val="{46EFD655-DE2C-43E0-B438-4CF99CAD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62A"/>
    <w:pPr>
      <w:autoSpaceDE w:val="0"/>
      <w:autoSpaceDN w:val="0"/>
    </w:pPr>
    <w:rPr>
      <w:sz w:val="24"/>
      <w:szCs w:val="24"/>
    </w:rPr>
  </w:style>
  <w:style w:type="paragraph" w:styleId="Heading1">
    <w:name w:val="heading 1"/>
    <w:basedOn w:val="Normal"/>
    <w:next w:val="Normal"/>
    <w:qFormat/>
    <w:pPr>
      <w:keepNext/>
      <w:spacing w:after="120"/>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jc w:val="center"/>
      <w:outlineLvl w:val="3"/>
    </w:pPr>
    <w:rPr>
      <w:rFonts w:ascii="Arial" w:hAnsi="Arial" w:cs="Arial"/>
      <w:b/>
      <w:bCs/>
      <w:sz w:val="28"/>
      <w:szCs w:val="28"/>
    </w:rPr>
  </w:style>
  <w:style w:type="paragraph" w:styleId="Heading5">
    <w:name w:val="heading 5"/>
    <w:basedOn w:val="Normal"/>
    <w:next w:val="Normal"/>
    <w:qFormat/>
    <w:pPr>
      <w:keepNext/>
      <w:spacing w:before="120"/>
      <w:ind w:right="34"/>
      <w:outlineLvl w:val="4"/>
    </w:pPr>
    <w:rPr>
      <w:sz w:val="22"/>
      <w:szCs w:val="22"/>
      <w:u w:val="single"/>
    </w:rPr>
  </w:style>
  <w:style w:type="paragraph" w:styleId="Heading6">
    <w:name w:val="heading 6"/>
    <w:basedOn w:val="Normal"/>
    <w:next w:val="Normal"/>
    <w:qFormat/>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rPr>
      <w:color w:val="0000FF"/>
    </w:rPr>
  </w:style>
  <w:style w:type="paragraph" w:styleId="BodyTextIndent2">
    <w:name w:val="Body Text Indent 2"/>
    <w:basedOn w:val="Normal"/>
    <w:pPr>
      <w:ind w:left="1134" w:hanging="567"/>
    </w:pPr>
  </w:style>
  <w:style w:type="paragraph" w:styleId="BodyTextIndent3">
    <w:name w:val="Body Text Indent 3"/>
    <w:basedOn w:val="Normal"/>
    <w:pPr>
      <w:ind w:left="1692" w:hanging="558"/>
    </w:pPr>
  </w:style>
  <w:style w:type="paragraph" w:styleId="BodyText">
    <w:name w:val="Body Text"/>
    <w:basedOn w:val="Normal"/>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rsid w:val="003A0B06"/>
  </w:style>
  <w:style w:type="paragraph" w:styleId="BalloonText">
    <w:name w:val="Balloon Text"/>
    <w:basedOn w:val="Normal"/>
    <w:semiHidden/>
    <w:rsid w:val="000812D3"/>
    <w:rPr>
      <w:rFonts w:ascii="Tahoma" w:hAnsi="Tahoma" w:cs="Tahoma"/>
      <w:sz w:val="16"/>
      <w:szCs w:val="16"/>
    </w:rPr>
  </w:style>
  <w:style w:type="paragraph" w:customStyle="1" w:styleId="CharChar1Char">
    <w:name w:val="Char Char1 Char"/>
    <w:basedOn w:val="Normal"/>
    <w:uiPriority w:val="99"/>
    <w:rsid w:val="00EC3355"/>
    <w:pPr>
      <w:autoSpaceDE/>
      <w:autoSpaceDN/>
    </w:pPr>
    <w:rPr>
      <w:rFonts w:ascii="Arial" w:hAnsi="Arial"/>
      <w:sz w:val="22"/>
      <w:szCs w:val="20"/>
      <w:lang w:eastAsia="en-US"/>
    </w:rPr>
  </w:style>
  <w:style w:type="character" w:styleId="CommentReference">
    <w:name w:val="annotation reference"/>
    <w:rsid w:val="005F61E8"/>
    <w:rPr>
      <w:sz w:val="16"/>
      <w:szCs w:val="16"/>
    </w:rPr>
  </w:style>
  <w:style w:type="paragraph" w:styleId="CommentText">
    <w:name w:val="annotation text"/>
    <w:basedOn w:val="Normal"/>
    <w:link w:val="CommentTextChar"/>
    <w:uiPriority w:val="99"/>
    <w:rsid w:val="005F61E8"/>
    <w:rPr>
      <w:sz w:val="20"/>
      <w:szCs w:val="20"/>
    </w:rPr>
  </w:style>
  <w:style w:type="character" w:customStyle="1" w:styleId="CommentTextChar">
    <w:name w:val="Comment Text Char"/>
    <w:link w:val="CommentText"/>
    <w:uiPriority w:val="99"/>
    <w:rsid w:val="005F61E8"/>
  </w:style>
  <w:style w:type="paragraph" w:styleId="CommentSubject">
    <w:name w:val="annotation subject"/>
    <w:basedOn w:val="CommentText"/>
    <w:next w:val="CommentText"/>
    <w:link w:val="CommentSubjectChar"/>
    <w:rsid w:val="005F61E8"/>
    <w:rPr>
      <w:b/>
      <w:bCs/>
    </w:rPr>
  </w:style>
  <w:style w:type="character" w:customStyle="1" w:styleId="CommentSubjectChar">
    <w:name w:val="Comment Subject Char"/>
    <w:link w:val="CommentSubject"/>
    <w:rsid w:val="005F61E8"/>
    <w:rPr>
      <w:b/>
      <w:bCs/>
    </w:rPr>
  </w:style>
  <w:style w:type="character" w:styleId="Hyperlink">
    <w:name w:val="Hyperlink"/>
    <w:basedOn w:val="DefaultParagraphFont"/>
    <w:rsid w:val="00C57856"/>
    <w:rPr>
      <w:color w:val="0000FF" w:themeColor="hyperlink"/>
      <w:u w:val="single"/>
    </w:rPr>
  </w:style>
  <w:style w:type="character" w:customStyle="1" w:styleId="FooterChar">
    <w:name w:val="Footer Char"/>
    <w:basedOn w:val="DefaultParagraphFont"/>
    <w:link w:val="Footer"/>
    <w:rsid w:val="007F368A"/>
    <w:rPr>
      <w:sz w:val="24"/>
      <w:szCs w:val="24"/>
    </w:rPr>
  </w:style>
  <w:style w:type="character" w:styleId="FollowedHyperlink">
    <w:name w:val="FollowedHyperlink"/>
    <w:basedOn w:val="DefaultParagraphFont"/>
    <w:rsid w:val="007A1437"/>
    <w:rPr>
      <w:color w:val="800080" w:themeColor="followedHyperlink"/>
      <w:u w:val="single"/>
    </w:rPr>
  </w:style>
  <w:style w:type="paragraph" w:styleId="Revision">
    <w:name w:val="Revision"/>
    <w:hidden/>
    <w:uiPriority w:val="99"/>
    <w:semiHidden/>
    <w:rsid w:val="003308B5"/>
    <w:rPr>
      <w:sz w:val="24"/>
      <w:szCs w:val="24"/>
    </w:rPr>
  </w:style>
  <w:style w:type="paragraph" w:styleId="ListParagraph">
    <w:name w:val="List Paragraph"/>
    <w:basedOn w:val="Normal"/>
    <w:uiPriority w:val="34"/>
    <w:qFormat/>
    <w:rsid w:val="00B57CF7"/>
    <w:pPr>
      <w:ind w:left="720"/>
      <w:contextualSpacing/>
    </w:pPr>
  </w:style>
  <w:style w:type="character" w:styleId="UnresolvedMention">
    <w:name w:val="Unresolved Mention"/>
    <w:basedOn w:val="DefaultParagraphFont"/>
    <w:uiPriority w:val="99"/>
    <w:semiHidden/>
    <w:unhideWhenUsed/>
    <w:rsid w:val="0053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49461">
      <w:bodyDiv w:val="1"/>
      <w:marLeft w:val="0"/>
      <w:marRight w:val="0"/>
      <w:marTop w:val="0"/>
      <w:marBottom w:val="0"/>
      <w:divBdr>
        <w:top w:val="none" w:sz="0" w:space="0" w:color="auto"/>
        <w:left w:val="none" w:sz="0" w:space="0" w:color="auto"/>
        <w:bottom w:val="none" w:sz="0" w:space="0" w:color="auto"/>
        <w:right w:val="none" w:sz="0" w:space="0" w:color="auto"/>
      </w:divBdr>
    </w:div>
    <w:div w:id="1720473417">
      <w:bodyDiv w:val="1"/>
      <w:marLeft w:val="0"/>
      <w:marRight w:val="0"/>
      <w:marTop w:val="0"/>
      <w:marBottom w:val="0"/>
      <w:divBdr>
        <w:top w:val="none" w:sz="0" w:space="0" w:color="auto"/>
        <w:left w:val="none" w:sz="0" w:space="0" w:color="auto"/>
        <w:bottom w:val="none" w:sz="0" w:space="0" w:color="auto"/>
        <w:right w:val="none" w:sz="0" w:space="0" w:color="auto"/>
      </w:divBdr>
    </w:div>
    <w:div w:id="1902279955">
      <w:bodyDiv w:val="1"/>
      <w:marLeft w:val="0"/>
      <w:marRight w:val="0"/>
      <w:marTop w:val="0"/>
      <w:marBottom w:val="0"/>
      <w:divBdr>
        <w:top w:val="none" w:sz="0" w:space="0" w:color="auto"/>
        <w:left w:val="none" w:sz="0" w:space="0" w:color="auto"/>
        <w:bottom w:val="none" w:sz="0" w:space="0" w:color="auto"/>
        <w:right w:val="none" w:sz="0" w:space="0" w:color="auto"/>
      </w:divBdr>
    </w:div>
    <w:div w:id="19972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gtr.gov.au/resources/publications/guidance-making-application-vary-dnir-lic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gtr.gov.au/resources/publications/application-vary-or-surrender-dnir-licence" TargetMode="External"/><Relationship Id="rId5" Type="http://schemas.openxmlformats.org/officeDocument/2006/relationships/numbering" Target="numbering.xml"/><Relationship Id="rId15" Type="http://schemas.openxmlformats.org/officeDocument/2006/relationships/hyperlink" Target="https://www.ogtr.gov.au/resources/publications/policy-licensing-plant-gmos-which-different-genetic-modifications-have-been-combined-or-stacked-conventional-breed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cf7b372-aaaa-46d8-9da6-ade9aab953df" xsi:nil="true"/>
    <Status xmlns="dcf7b372-aaaa-46d8-9da6-ade9aab953df">Drafting</Status>
    <Reviewer xmlns="dcf7b372-aaaa-46d8-9da6-ade9aab953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a2cf015f4e465280b59ba6e8b92e0fa0">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574fe77e0b722da401fc32c951942873"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default="Drafting" ma:format="Dropdown" ma:internalName="Status">
      <xsd:simpleType>
        <xsd:restriction base="dms:Choice">
          <xsd:enumeration value="Drafting"/>
          <xsd:enumeration value="Ready for review"/>
          <xsd:enumeration value="Reviewed"/>
          <xsd:enumeration value="Ready for approval"/>
          <xsd:enumeration value="Block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5BA3-53ED-42B6-956B-452C744CCB4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36487dd-ec90-4f99-8970-1318e5f29791"/>
    <ds:schemaRef ds:uri="dcf7b372-aaaa-46d8-9da6-ade9aab953df"/>
    <ds:schemaRef ds:uri="http://www.w3.org/XML/1998/namespace"/>
  </ds:schemaRefs>
</ds:datastoreItem>
</file>

<file path=customXml/itemProps2.xml><?xml version="1.0" encoding="utf-8"?>
<ds:datastoreItem xmlns:ds="http://schemas.openxmlformats.org/officeDocument/2006/customXml" ds:itemID="{A3E4FFE7-120F-49A0-8C45-5F548D65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7CFBC-D285-4F02-9687-C9EE1385B2CD}">
  <ds:schemaRefs>
    <ds:schemaRef ds:uri="http://schemas.microsoft.com/sharepoint/v3/contenttype/forms"/>
  </ds:schemaRefs>
</ds:datastoreItem>
</file>

<file path=customXml/itemProps4.xml><?xml version="1.0" encoding="utf-8"?>
<ds:datastoreItem xmlns:ds="http://schemas.openxmlformats.org/officeDocument/2006/customXml" ds:itemID="{FF3FBAB4-2403-4123-898A-8E0B1179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1565</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Policy on scope for variation of GMO licences</vt:lpstr>
    </vt:vector>
  </TitlesOfParts>
  <Company>DHA</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scope for variation of GMO licences</dc:title>
  <dc:subject>GMO Licences</dc:subject>
  <dc:creator>Office of the Gene Technology Regulator</dc:creator>
  <cp:keywords>variation policy, gmo licence</cp:keywords>
  <cp:lastModifiedBy>SMITH, Justine</cp:lastModifiedBy>
  <cp:revision>2</cp:revision>
  <cp:lastPrinted>2016-02-18T05:35:00Z</cp:lastPrinted>
  <dcterms:created xsi:type="dcterms:W3CDTF">2024-03-05T22:48:00Z</dcterms:created>
  <dcterms:modified xsi:type="dcterms:W3CDTF">2024-03-05T22:48:00Z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