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3180" w14:textId="7088D63C" w:rsidR="00D858B9" w:rsidRPr="00A95E0D" w:rsidRDefault="00D858B9" w:rsidP="00D858B9">
      <w:pPr>
        <w:jc w:val="right"/>
      </w:pPr>
      <w:bookmarkStart w:id="0" w:name="_Toc151567329"/>
      <w:r>
        <w:t xml:space="preserve">May </w:t>
      </w:r>
      <w:r w:rsidRPr="00A95E0D">
        <w:t>202</w:t>
      </w:r>
      <w:r>
        <w:t>4</w:t>
      </w:r>
    </w:p>
    <w:p w14:paraId="46EF03EB" w14:textId="77777777" w:rsidR="00D858B9" w:rsidRPr="00651928" w:rsidRDefault="00D858B9" w:rsidP="00D858B9">
      <w:pPr>
        <w:spacing w:before="240"/>
        <w:jc w:val="center"/>
        <w:outlineLvl w:val="0"/>
        <w:rPr>
          <w:rFonts w:eastAsia="SimSun" w:cs="Calibri"/>
          <w:b/>
          <w:bCs/>
          <w:i/>
          <w:kern w:val="28"/>
          <w:sz w:val="36"/>
          <w:szCs w:val="36"/>
        </w:rPr>
      </w:pPr>
      <w:bookmarkStart w:id="1" w:name="_Toc355007993"/>
      <w:bookmarkStart w:id="2" w:name="_Toc474484240"/>
      <w:bookmarkStart w:id="3" w:name="_Toc98836533"/>
      <w:bookmarkStart w:id="4" w:name="_Toc156901926"/>
      <w:bookmarkStart w:id="5" w:name="_Toc166573926"/>
      <w:bookmarkStart w:id="6" w:name="_Toc209859545"/>
      <w:bookmarkStart w:id="7" w:name="_Toc236620543"/>
      <w:bookmarkStart w:id="8" w:name="_Toc259790166"/>
      <w:bookmarkStart w:id="9" w:name="_Toc198434571"/>
      <w:bookmarkStart w:id="10" w:name="_Toc167164262"/>
      <w:bookmarkStart w:id="11" w:name="_Toc174765844"/>
      <w:bookmarkStart w:id="12" w:name="_Toc377743543"/>
      <w:bookmarkEnd w:id="0"/>
      <w:r w:rsidRPr="00651928">
        <w:rPr>
          <w:rFonts w:eastAsia="SimSun" w:cs="Calibri"/>
          <w:b/>
          <w:bCs/>
          <w:kern w:val="28"/>
          <w:sz w:val="36"/>
          <w:szCs w:val="36"/>
        </w:rPr>
        <w:t>Summary of the Risk Assessment and Risk Management Plan</w:t>
      </w:r>
      <w:bookmarkStart w:id="13" w:name="_Toc475693826"/>
      <w:bookmarkStart w:id="14" w:name="_Toc475694208"/>
      <w:bookmarkStart w:id="15" w:name="_Toc475694681"/>
      <w:bookmarkEnd w:id="1"/>
      <w:bookmarkEnd w:id="2"/>
      <w:bookmarkEnd w:id="3"/>
      <w:bookmarkEnd w:id="4"/>
      <w:bookmarkEnd w:id="5"/>
    </w:p>
    <w:p w14:paraId="5A761600" w14:textId="77777777" w:rsidR="00D858B9" w:rsidRPr="00651928" w:rsidRDefault="00D858B9" w:rsidP="00D858B9">
      <w:pPr>
        <w:jc w:val="center"/>
        <w:rPr>
          <w:rFonts w:eastAsia="SimSun" w:cs="Calibri"/>
          <w:sz w:val="36"/>
          <w:szCs w:val="36"/>
        </w:rPr>
      </w:pPr>
      <w:r w:rsidRPr="00651928">
        <w:rPr>
          <w:rFonts w:cs="Calibri"/>
          <w:b/>
          <w:sz w:val="36"/>
          <w:szCs w:val="36"/>
        </w:rPr>
        <w:t>for</w:t>
      </w:r>
      <w:bookmarkEnd w:id="13"/>
      <w:bookmarkEnd w:id="14"/>
      <w:bookmarkEnd w:id="15"/>
    </w:p>
    <w:p w14:paraId="7F36F0B6" w14:textId="77777777" w:rsidR="00D858B9" w:rsidRPr="00651928" w:rsidRDefault="00D858B9" w:rsidP="00D858B9">
      <w:pPr>
        <w:jc w:val="center"/>
        <w:rPr>
          <w:rFonts w:cs="Calibri"/>
          <w:b/>
          <w:sz w:val="36"/>
          <w:szCs w:val="36"/>
        </w:rPr>
      </w:pPr>
      <w:r w:rsidRPr="00651928">
        <w:rPr>
          <w:rFonts w:cs="Calibri"/>
          <w:b/>
          <w:sz w:val="36"/>
          <w:szCs w:val="36"/>
        </w:rPr>
        <w:t>Licence Application No. DIR 20</w:t>
      </w:r>
      <w:r>
        <w:rPr>
          <w:rFonts w:cs="Calibri"/>
          <w:b/>
          <w:sz w:val="36"/>
          <w:szCs w:val="36"/>
        </w:rPr>
        <w:t>3</w:t>
      </w:r>
    </w:p>
    <w:p w14:paraId="79BD79D7" w14:textId="77777777" w:rsidR="00D858B9" w:rsidRPr="00D858B9" w:rsidRDefault="00D858B9" w:rsidP="00D858B9">
      <w:pPr>
        <w:pStyle w:val="Heading1"/>
        <w:spacing w:before="120" w:after="120"/>
        <w:rPr>
          <w:rFonts w:eastAsia="Times New Roman"/>
          <w:b w:val="0"/>
          <w:bCs/>
          <w:i/>
          <w:iCs/>
          <w:sz w:val="24"/>
          <w:szCs w:val="24"/>
        </w:rPr>
      </w:pPr>
      <w:bookmarkStart w:id="16" w:name="_Toc166573927"/>
      <w:bookmarkEnd w:id="6"/>
      <w:bookmarkEnd w:id="7"/>
      <w:bookmarkEnd w:id="8"/>
      <w:bookmarkEnd w:id="9"/>
      <w:bookmarkEnd w:id="10"/>
      <w:bookmarkEnd w:id="11"/>
      <w:bookmarkEnd w:id="12"/>
      <w:r w:rsidRPr="00D858B9">
        <w:rPr>
          <w:rFonts w:eastAsia="Times New Roman"/>
          <w:i/>
          <w:iCs/>
          <w:sz w:val="24"/>
          <w:szCs w:val="24"/>
        </w:rPr>
        <w:t>Decision</w:t>
      </w:r>
      <w:bookmarkEnd w:id="16"/>
    </w:p>
    <w:p w14:paraId="74F81388" w14:textId="77777777" w:rsidR="00D858B9" w:rsidRPr="00245B77" w:rsidRDefault="00D858B9" w:rsidP="00D858B9">
      <w:r w:rsidRPr="00245B77">
        <w:t>The Gene Technology Regulator (the Regulator) has decided to issue a licence for this application for the intentional release of a genetically modified organism (GMO) into the environment. A Risk Assessment and Risk Management Plan (RARMP) for this application has been prepared</w:t>
      </w:r>
      <w:r w:rsidRPr="00245B77" w:rsidDel="002F4DCA">
        <w:t xml:space="preserve"> </w:t>
      </w:r>
      <w:r w:rsidRPr="00245B77">
        <w:t xml:space="preserve">by the Regulator in accordance with the </w:t>
      </w:r>
      <w:r w:rsidRPr="00947EC5">
        <w:rPr>
          <w:i/>
          <w:iCs/>
        </w:rPr>
        <w:t>Gene Technology Act 2000</w:t>
      </w:r>
      <w:r w:rsidRPr="00245B77">
        <w:t xml:space="preserve"> (the Act) and corresponding state and territory legislation, and finalised following consultation with a wide range of experts, agencies and authorities, and the public. The RARMP concluded that the proposed field trial poses negligible risk to human health and safety and the environment and that any risks posed by the dealings can be managed by imposing conditions on the release.</w:t>
      </w:r>
    </w:p>
    <w:p w14:paraId="6C122DEF" w14:textId="77777777" w:rsidR="00D858B9" w:rsidRPr="00D858B9" w:rsidRDefault="00D858B9" w:rsidP="00D858B9">
      <w:pPr>
        <w:pStyle w:val="Heading1"/>
        <w:spacing w:before="120" w:after="120"/>
        <w:rPr>
          <w:i/>
          <w:iCs/>
          <w:sz w:val="24"/>
          <w:szCs w:val="24"/>
        </w:rPr>
      </w:pPr>
      <w:bookmarkStart w:id="17" w:name="_Toc106180668"/>
      <w:bookmarkStart w:id="18" w:name="_Toc166573928"/>
      <w:r w:rsidRPr="00D858B9">
        <w:rPr>
          <w:i/>
          <w:iCs/>
          <w:sz w:val="24"/>
          <w:szCs w:val="24"/>
        </w:rPr>
        <w:t>The application</w:t>
      </w:r>
      <w:bookmarkEnd w:id="17"/>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07"/>
        <w:gridCol w:w="7021"/>
      </w:tblGrid>
      <w:tr w:rsidR="00D858B9" w:rsidRPr="003F7B15" w14:paraId="3C004839" w14:textId="77777777" w:rsidTr="00121868">
        <w:trPr>
          <w:trHeight w:val="540"/>
          <w:jc w:val="center"/>
        </w:trPr>
        <w:tc>
          <w:tcPr>
            <w:tcW w:w="1354" w:type="pct"/>
          </w:tcPr>
          <w:p w14:paraId="10790876" w14:textId="77777777" w:rsidR="00D858B9" w:rsidRPr="00D858B9" w:rsidRDefault="00D858B9" w:rsidP="00121868">
            <w:pPr>
              <w:rPr>
                <w:b/>
                <w:bCs/>
                <w:i/>
              </w:rPr>
            </w:pPr>
            <w:r w:rsidRPr="00D858B9">
              <w:rPr>
                <w:b/>
                <w:bCs/>
                <w:i/>
              </w:rPr>
              <w:t>Application number</w:t>
            </w:r>
          </w:p>
        </w:tc>
        <w:tc>
          <w:tcPr>
            <w:tcW w:w="3646" w:type="pct"/>
          </w:tcPr>
          <w:p w14:paraId="0E465A3B" w14:textId="77777777" w:rsidR="00D858B9" w:rsidRPr="00D858B9" w:rsidRDefault="00D858B9" w:rsidP="00121868">
            <w:r w:rsidRPr="00D858B9">
              <w:t>DIR 203</w:t>
            </w:r>
          </w:p>
        </w:tc>
      </w:tr>
      <w:tr w:rsidR="00D858B9" w:rsidRPr="003F7B15" w14:paraId="43D2C2C5" w14:textId="77777777" w:rsidTr="00121868">
        <w:trPr>
          <w:trHeight w:val="540"/>
          <w:jc w:val="center"/>
        </w:trPr>
        <w:tc>
          <w:tcPr>
            <w:tcW w:w="1354" w:type="pct"/>
          </w:tcPr>
          <w:p w14:paraId="71DF94C9" w14:textId="77777777" w:rsidR="00D858B9" w:rsidRPr="00D858B9" w:rsidRDefault="00D858B9" w:rsidP="00121868">
            <w:pPr>
              <w:rPr>
                <w:b/>
                <w:bCs/>
                <w:i/>
              </w:rPr>
            </w:pPr>
            <w:r w:rsidRPr="00D858B9">
              <w:rPr>
                <w:b/>
                <w:bCs/>
                <w:i/>
              </w:rPr>
              <w:t>Applicant</w:t>
            </w:r>
          </w:p>
        </w:tc>
        <w:tc>
          <w:tcPr>
            <w:tcW w:w="3646" w:type="pct"/>
          </w:tcPr>
          <w:p w14:paraId="295BDA4F" w14:textId="77777777" w:rsidR="00D858B9" w:rsidRPr="00D858B9" w:rsidRDefault="00D858B9" w:rsidP="00121868">
            <w:r w:rsidRPr="00D858B9">
              <w:t>Monsanto Australia Pty Ltd</w:t>
            </w:r>
          </w:p>
        </w:tc>
      </w:tr>
      <w:tr w:rsidR="00D858B9" w:rsidRPr="003F7B15" w14:paraId="23A0A253" w14:textId="77777777" w:rsidTr="00121868">
        <w:trPr>
          <w:trHeight w:val="540"/>
          <w:jc w:val="center"/>
        </w:trPr>
        <w:tc>
          <w:tcPr>
            <w:tcW w:w="1354" w:type="pct"/>
          </w:tcPr>
          <w:p w14:paraId="0786D0A5" w14:textId="77777777" w:rsidR="00D858B9" w:rsidRPr="00D858B9" w:rsidRDefault="00D858B9" w:rsidP="00121868">
            <w:pPr>
              <w:rPr>
                <w:b/>
                <w:bCs/>
                <w:i/>
              </w:rPr>
            </w:pPr>
            <w:r w:rsidRPr="00D858B9">
              <w:rPr>
                <w:b/>
                <w:bCs/>
                <w:i/>
              </w:rPr>
              <w:t>Project Title</w:t>
            </w:r>
          </w:p>
        </w:tc>
        <w:tc>
          <w:tcPr>
            <w:tcW w:w="3646" w:type="pct"/>
          </w:tcPr>
          <w:p w14:paraId="59FEEB95" w14:textId="77777777" w:rsidR="00D858B9" w:rsidRPr="00D858B9" w:rsidRDefault="00D858B9" w:rsidP="00121868">
            <w:r w:rsidRPr="00D858B9">
              <w:t>Limited and controlled release of cotton genetically modified for herbicide tolerance and insect resistance</w:t>
            </w:r>
            <w:r w:rsidRPr="00D858B9">
              <w:rPr>
                <w:vertAlign w:val="superscript"/>
              </w:rPr>
              <w:footnoteReference w:id="1"/>
            </w:r>
          </w:p>
        </w:tc>
      </w:tr>
      <w:tr w:rsidR="00D858B9" w:rsidRPr="003F7B15" w14:paraId="72CF063B" w14:textId="77777777" w:rsidTr="00121868">
        <w:trPr>
          <w:trHeight w:val="356"/>
          <w:jc w:val="center"/>
        </w:trPr>
        <w:tc>
          <w:tcPr>
            <w:tcW w:w="1354" w:type="pct"/>
          </w:tcPr>
          <w:p w14:paraId="648012E8" w14:textId="77777777" w:rsidR="00D858B9" w:rsidRPr="00D858B9" w:rsidRDefault="00D858B9" w:rsidP="00121868">
            <w:pPr>
              <w:rPr>
                <w:b/>
                <w:bCs/>
                <w:i/>
              </w:rPr>
            </w:pPr>
            <w:r w:rsidRPr="00D858B9">
              <w:rPr>
                <w:b/>
                <w:bCs/>
                <w:i/>
              </w:rPr>
              <w:t>Parent organism</w:t>
            </w:r>
          </w:p>
        </w:tc>
        <w:tc>
          <w:tcPr>
            <w:tcW w:w="3646" w:type="pct"/>
          </w:tcPr>
          <w:p w14:paraId="2062366F" w14:textId="77777777" w:rsidR="00D858B9" w:rsidRPr="00D858B9" w:rsidRDefault="00D858B9" w:rsidP="00121868">
            <w:r w:rsidRPr="00D858B9">
              <w:t>Cotton (</w:t>
            </w:r>
            <w:r w:rsidRPr="00D858B9">
              <w:rPr>
                <w:i/>
                <w:iCs/>
              </w:rPr>
              <w:t xml:space="preserve">Gossypium </w:t>
            </w:r>
            <w:proofErr w:type="spellStart"/>
            <w:r w:rsidRPr="00D858B9">
              <w:rPr>
                <w:i/>
                <w:iCs/>
              </w:rPr>
              <w:t>hirsutum</w:t>
            </w:r>
            <w:proofErr w:type="spellEnd"/>
            <w:r w:rsidRPr="00D858B9">
              <w:t xml:space="preserve"> L.)</w:t>
            </w:r>
          </w:p>
        </w:tc>
      </w:tr>
      <w:tr w:rsidR="00D858B9" w:rsidRPr="003F7B15" w14:paraId="22ED12F0" w14:textId="77777777" w:rsidTr="00121868">
        <w:trPr>
          <w:trHeight w:val="277"/>
          <w:jc w:val="center"/>
        </w:trPr>
        <w:tc>
          <w:tcPr>
            <w:tcW w:w="5000" w:type="pct"/>
            <w:gridSpan w:val="2"/>
          </w:tcPr>
          <w:p w14:paraId="0B2EF155" w14:textId="77777777" w:rsidR="00D858B9" w:rsidRPr="00D858B9" w:rsidRDefault="00D858B9" w:rsidP="00121868">
            <w:pPr>
              <w:rPr>
                <w:b/>
                <w:i/>
              </w:rPr>
            </w:pPr>
            <w:r w:rsidRPr="00D858B9">
              <w:rPr>
                <w:b/>
                <w:i/>
              </w:rPr>
              <w:t>Genetic modifications</w:t>
            </w:r>
          </w:p>
        </w:tc>
      </w:tr>
      <w:tr w:rsidR="00D858B9" w:rsidRPr="003F7B15" w14:paraId="256C6B14" w14:textId="77777777" w:rsidTr="00121868">
        <w:trPr>
          <w:trHeight w:val="729"/>
          <w:jc w:val="center"/>
        </w:trPr>
        <w:tc>
          <w:tcPr>
            <w:tcW w:w="1354" w:type="pct"/>
          </w:tcPr>
          <w:p w14:paraId="7BFC387B" w14:textId="77777777" w:rsidR="00D858B9" w:rsidRPr="00D858B9" w:rsidRDefault="00D858B9" w:rsidP="00121868">
            <w:pPr>
              <w:rPr>
                <w:bCs/>
              </w:rPr>
            </w:pPr>
            <w:r w:rsidRPr="00D858B9">
              <w:rPr>
                <w:bCs/>
              </w:rPr>
              <w:t>Introduced genes</w:t>
            </w:r>
          </w:p>
        </w:tc>
        <w:tc>
          <w:tcPr>
            <w:tcW w:w="3646" w:type="pct"/>
          </w:tcPr>
          <w:p w14:paraId="160FC8D6" w14:textId="77777777" w:rsidR="00D858B9" w:rsidRPr="00D858B9" w:rsidRDefault="00D858B9" w:rsidP="00121868">
            <w:pPr>
              <w:spacing w:before="60" w:after="60"/>
              <w:rPr>
                <w:rFonts w:asciiTheme="minorHAnsi" w:hAnsiTheme="minorHAnsi" w:cstheme="minorHAnsi"/>
                <w:u w:val="single"/>
              </w:rPr>
            </w:pPr>
            <w:r w:rsidRPr="00D858B9">
              <w:rPr>
                <w:rFonts w:asciiTheme="minorHAnsi" w:hAnsiTheme="minorHAnsi" w:cstheme="minorHAnsi"/>
                <w:u w:val="single"/>
              </w:rPr>
              <w:t>Introduced genes:</w:t>
            </w:r>
          </w:p>
          <w:p w14:paraId="769880D9" w14:textId="77777777" w:rsidR="00D858B9" w:rsidRPr="00D858B9" w:rsidRDefault="00D858B9" w:rsidP="00D858B9">
            <w:pPr>
              <w:pStyle w:val="ListParagraph"/>
              <w:numPr>
                <w:ilvl w:val="0"/>
                <w:numId w:val="2"/>
              </w:numPr>
              <w:spacing w:before="0" w:after="0"/>
              <w:rPr>
                <w:rStyle w:val="cf01"/>
                <w:rFonts w:asciiTheme="minorHAnsi" w:hAnsiTheme="minorHAnsi" w:cstheme="minorHAnsi"/>
                <w:sz w:val="22"/>
                <w:szCs w:val="22"/>
              </w:rPr>
            </w:pPr>
            <w:r w:rsidRPr="00D858B9">
              <w:rPr>
                <w:rStyle w:val="cf41"/>
                <w:rFonts w:asciiTheme="minorHAnsi" w:hAnsiTheme="minorHAnsi" w:cstheme="minorHAnsi"/>
                <w:sz w:val="22"/>
                <w:szCs w:val="22"/>
              </w:rPr>
              <w:t xml:space="preserve">cp4 </w:t>
            </w:r>
            <w:proofErr w:type="spellStart"/>
            <w:r w:rsidRPr="00D858B9">
              <w:rPr>
                <w:rStyle w:val="cf41"/>
                <w:rFonts w:asciiTheme="minorHAnsi" w:hAnsiTheme="minorHAnsi" w:cstheme="minorHAnsi"/>
                <w:sz w:val="22"/>
                <w:szCs w:val="22"/>
              </w:rPr>
              <w:t>epsps</w:t>
            </w:r>
            <w:proofErr w:type="spellEnd"/>
            <w:r w:rsidRPr="00D858B9">
              <w:rPr>
                <w:rStyle w:val="cf41"/>
                <w:rFonts w:asciiTheme="minorHAnsi" w:hAnsiTheme="minorHAnsi" w:cstheme="minorHAnsi"/>
                <w:sz w:val="22"/>
                <w:szCs w:val="22"/>
              </w:rPr>
              <w:t xml:space="preserve">, </w:t>
            </w:r>
            <w:proofErr w:type="spellStart"/>
            <w:r w:rsidRPr="00D858B9">
              <w:rPr>
                <w:rStyle w:val="cf41"/>
                <w:rFonts w:asciiTheme="minorHAnsi" w:hAnsiTheme="minorHAnsi" w:cstheme="minorHAnsi"/>
                <w:sz w:val="22"/>
                <w:szCs w:val="22"/>
              </w:rPr>
              <w:t>dmo</w:t>
            </w:r>
            <w:proofErr w:type="spellEnd"/>
            <w:r w:rsidRPr="00D858B9">
              <w:rPr>
                <w:rStyle w:val="cf41"/>
                <w:rFonts w:asciiTheme="minorHAnsi" w:hAnsiTheme="minorHAnsi" w:cstheme="minorHAnsi"/>
                <w:sz w:val="22"/>
                <w:szCs w:val="22"/>
              </w:rPr>
              <w:t xml:space="preserve"> </w:t>
            </w:r>
            <w:r w:rsidRPr="00D858B9">
              <w:rPr>
                <w:rStyle w:val="cf51"/>
                <w:rFonts w:asciiTheme="minorHAnsi" w:hAnsiTheme="minorHAnsi" w:cstheme="minorHAnsi"/>
                <w:sz w:val="22"/>
                <w:szCs w:val="22"/>
              </w:rPr>
              <w:t>and</w:t>
            </w:r>
            <w:r w:rsidRPr="00D858B9">
              <w:rPr>
                <w:rStyle w:val="cf41"/>
                <w:rFonts w:asciiTheme="minorHAnsi" w:hAnsiTheme="minorHAnsi" w:cstheme="minorHAnsi"/>
                <w:sz w:val="22"/>
                <w:szCs w:val="22"/>
              </w:rPr>
              <w:t xml:space="preserve"> bar</w:t>
            </w:r>
            <w:r w:rsidRPr="00D858B9">
              <w:rPr>
                <w:rStyle w:val="cf01"/>
                <w:rFonts w:asciiTheme="minorHAnsi" w:hAnsiTheme="minorHAnsi" w:cstheme="minorHAnsi"/>
                <w:sz w:val="22"/>
                <w:szCs w:val="22"/>
              </w:rPr>
              <w:t xml:space="preserve"> conferring herbicide </w:t>
            </w:r>
            <w:proofErr w:type="gramStart"/>
            <w:r w:rsidRPr="00D858B9">
              <w:rPr>
                <w:rStyle w:val="cf01"/>
                <w:rFonts w:asciiTheme="minorHAnsi" w:hAnsiTheme="minorHAnsi" w:cstheme="minorHAnsi"/>
                <w:sz w:val="22"/>
                <w:szCs w:val="22"/>
              </w:rPr>
              <w:t>tolerance</w:t>
            </w:r>
            <w:proofErr w:type="gramEnd"/>
          </w:p>
          <w:p w14:paraId="5393ED22" w14:textId="77777777" w:rsidR="00D858B9" w:rsidRPr="00D858B9" w:rsidRDefault="00D858B9" w:rsidP="00D858B9">
            <w:pPr>
              <w:pStyle w:val="ListParagraph"/>
              <w:numPr>
                <w:ilvl w:val="0"/>
                <w:numId w:val="2"/>
              </w:numPr>
              <w:spacing w:before="240" w:after="0"/>
              <w:rPr>
                <w:rFonts w:asciiTheme="minorHAnsi" w:hAnsiTheme="minorHAnsi" w:cstheme="minorHAnsi"/>
                <w:iCs/>
                <w:szCs w:val="22"/>
              </w:rPr>
            </w:pPr>
            <w:r w:rsidRPr="00D858B9">
              <w:rPr>
                <w:rStyle w:val="cf41"/>
                <w:rFonts w:asciiTheme="minorHAnsi" w:hAnsiTheme="minorHAnsi" w:cstheme="minorHAnsi"/>
                <w:sz w:val="22"/>
                <w:szCs w:val="22"/>
              </w:rPr>
              <w:t>mCry51Aa2</w:t>
            </w:r>
            <w:r w:rsidRPr="00D858B9">
              <w:rPr>
                <w:rStyle w:val="cf51"/>
                <w:rFonts w:asciiTheme="minorHAnsi" w:hAnsiTheme="minorHAnsi" w:cstheme="minorHAnsi"/>
                <w:sz w:val="22"/>
                <w:szCs w:val="22"/>
              </w:rPr>
              <w:t xml:space="preserve">, </w:t>
            </w:r>
            <w:r w:rsidRPr="00D858B9">
              <w:rPr>
                <w:rStyle w:val="cf41"/>
                <w:rFonts w:asciiTheme="minorHAnsi" w:hAnsiTheme="minorHAnsi" w:cstheme="minorHAnsi"/>
                <w:sz w:val="22"/>
                <w:szCs w:val="22"/>
              </w:rPr>
              <w:t xml:space="preserve">Cry1Ac, </w:t>
            </w:r>
            <w:r w:rsidRPr="00D858B9">
              <w:rPr>
                <w:rStyle w:val="cf71"/>
                <w:rFonts w:asciiTheme="minorHAnsi" w:hAnsiTheme="minorHAnsi" w:cstheme="minorHAnsi"/>
                <w:sz w:val="22"/>
                <w:szCs w:val="22"/>
              </w:rPr>
              <w:t xml:space="preserve">Cry2ab2 and </w:t>
            </w:r>
            <w:r w:rsidRPr="00D858B9">
              <w:rPr>
                <w:rStyle w:val="cf41"/>
                <w:rFonts w:asciiTheme="minorHAnsi" w:hAnsiTheme="minorHAnsi" w:cstheme="minorHAnsi"/>
                <w:sz w:val="22"/>
                <w:szCs w:val="22"/>
              </w:rPr>
              <w:t xml:space="preserve">Vip3Aa19 </w:t>
            </w:r>
            <w:r w:rsidRPr="00947EC5">
              <w:rPr>
                <w:rStyle w:val="cf41"/>
                <w:rFonts w:asciiTheme="minorHAnsi" w:hAnsiTheme="minorHAnsi" w:cstheme="minorHAnsi"/>
                <w:i w:val="0"/>
                <w:iCs w:val="0"/>
                <w:sz w:val="22"/>
                <w:szCs w:val="22"/>
              </w:rPr>
              <w:t xml:space="preserve">conferring insect </w:t>
            </w:r>
            <w:proofErr w:type="gramStart"/>
            <w:r w:rsidRPr="00947EC5">
              <w:rPr>
                <w:rStyle w:val="cf41"/>
                <w:rFonts w:asciiTheme="minorHAnsi" w:hAnsiTheme="minorHAnsi" w:cstheme="minorHAnsi"/>
                <w:i w:val="0"/>
                <w:iCs w:val="0"/>
                <w:sz w:val="22"/>
                <w:szCs w:val="22"/>
              </w:rPr>
              <w:t>resistance</w:t>
            </w:r>
            <w:proofErr w:type="gramEnd"/>
          </w:p>
          <w:p w14:paraId="6CFD0532" w14:textId="64D42EBF" w:rsidR="00D858B9" w:rsidRPr="00D858B9" w:rsidRDefault="00D858B9" w:rsidP="00D858B9">
            <w:pPr>
              <w:pStyle w:val="ListParagraph"/>
              <w:numPr>
                <w:ilvl w:val="0"/>
                <w:numId w:val="2"/>
              </w:numPr>
              <w:spacing w:before="0" w:after="0"/>
              <w:rPr>
                <w:rStyle w:val="cf01"/>
                <w:rFonts w:asciiTheme="minorHAnsi" w:hAnsiTheme="minorHAnsi" w:cstheme="minorHAnsi"/>
                <w:iCs/>
                <w:sz w:val="22"/>
                <w:szCs w:val="22"/>
              </w:rPr>
            </w:pPr>
            <w:r w:rsidRPr="00D858B9">
              <w:rPr>
                <w:szCs w:val="22"/>
              </w:rPr>
              <w:t xml:space="preserve">Additional genes conferring </w:t>
            </w:r>
            <w:r w:rsidRPr="00D858B9">
              <w:rPr>
                <w:rFonts w:asciiTheme="minorHAnsi" w:hAnsiTheme="minorHAnsi" w:cstheme="minorHAnsi"/>
                <w:szCs w:val="22"/>
              </w:rPr>
              <w:t>herbicide tolerance and insect resistance</w:t>
            </w:r>
            <w:r w:rsidRPr="00D858B9">
              <w:rPr>
                <w:szCs w:val="22"/>
                <w:vertAlign w:val="superscript"/>
              </w:rPr>
              <w:footnoteReference w:id="2"/>
            </w:r>
          </w:p>
          <w:p w14:paraId="41BD32D2" w14:textId="77777777" w:rsidR="00D858B9" w:rsidRPr="00D858B9" w:rsidRDefault="00D858B9" w:rsidP="00121868">
            <w:pPr>
              <w:spacing w:after="60"/>
              <w:rPr>
                <w:rFonts w:asciiTheme="minorHAnsi" w:hAnsiTheme="minorHAnsi" w:cstheme="minorHAnsi"/>
              </w:rPr>
            </w:pPr>
            <w:r w:rsidRPr="00D858B9">
              <w:rPr>
                <w:rFonts w:asciiTheme="minorHAnsi" w:hAnsiTheme="minorHAnsi" w:cstheme="minorHAnsi"/>
                <w:u w:val="single"/>
              </w:rPr>
              <w:t>Reporter and selectable marker genes:</w:t>
            </w:r>
          </w:p>
          <w:p w14:paraId="12536C3F" w14:textId="77777777" w:rsidR="00D858B9" w:rsidRPr="00D858B9" w:rsidRDefault="00D858B9" w:rsidP="00D858B9">
            <w:pPr>
              <w:pStyle w:val="ListParagraph"/>
              <w:numPr>
                <w:ilvl w:val="0"/>
                <w:numId w:val="2"/>
              </w:numPr>
              <w:spacing w:before="0" w:after="60"/>
              <w:rPr>
                <w:rFonts w:asciiTheme="minorHAnsi" w:hAnsiTheme="minorHAnsi" w:cstheme="minorHAnsi"/>
                <w:szCs w:val="22"/>
              </w:rPr>
            </w:pPr>
            <w:proofErr w:type="spellStart"/>
            <w:r w:rsidRPr="00D858B9">
              <w:rPr>
                <w:rFonts w:asciiTheme="minorHAnsi" w:hAnsiTheme="minorHAnsi" w:cstheme="minorHAnsi"/>
                <w:i/>
                <w:iCs/>
                <w:szCs w:val="22"/>
              </w:rPr>
              <w:t>uidA</w:t>
            </w:r>
            <w:proofErr w:type="spellEnd"/>
            <w:r w:rsidRPr="00D858B9">
              <w:rPr>
                <w:rFonts w:asciiTheme="minorHAnsi" w:hAnsiTheme="minorHAnsi" w:cstheme="minorHAnsi"/>
                <w:szCs w:val="22"/>
              </w:rPr>
              <w:t xml:space="preserve">, </w:t>
            </w:r>
            <w:proofErr w:type="spellStart"/>
            <w:r w:rsidRPr="00D858B9">
              <w:rPr>
                <w:rFonts w:asciiTheme="minorHAnsi" w:hAnsiTheme="minorHAnsi" w:cstheme="minorHAnsi"/>
                <w:i/>
                <w:iCs/>
                <w:szCs w:val="22"/>
              </w:rPr>
              <w:t>nptII</w:t>
            </w:r>
            <w:proofErr w:type="spellEnd"/>
            <w:r w:rsidRPr="00D858B9">
              <w:rPr>
                <w:rFonts w:asciiTheme="minorHAnsi" w:hAnsiTheme="minorHAnsi" w:cstheme="minorHAnsi"/>
                <w:szCs w:val="22"/>
              </w:rPr>
              <w:t xml:space="preserve">, </w:t>
            </w:r>
            <w:proofErr w:type="spellStart"/>
            <w:r w:rsidRPr="00D858B9">
              <w:rPr>
                <w:rFonts w:asciiTheme="minorHAnsi" w:hAnsiTheme="minorHAnsi" w:cstheme="minorHAnsi"/>
                <w:i/>
                <w:iCs/>
                <w:szCs w:val="22"/>
              </w:rPr>
              <w:t>aad</w:t>
            </w:r>
            <w:proofErr w:type="spellEnd"/>
            <w:r w:rsidRPr="00D858B9">
              <w:rPr>
                <w:rFonts w:asciiTheme="minorHAnsi" w:hAnsiTheme="minorHAnsi" w:cstheme="minorHAnsi"/>
                <w:szCs w:val="22"/>
              </w:rPr>
              <w:t xml:space="preserve"> and </w:t>
            </w:r>
            <w:r w:rsidRPr="00D858B9">
              <w:rPr>
                <w:rFonts w:asciiTheme="minorHAnsi" w:hAnsiTheme="minorHAnsi" w:cstheme="minorHAnsi"/>
                <w:i/>
                <w:iCs/>
                <w:szCs w:val="22"/>
              </w:rPr>
              <w:t>aph4</w:t>
            </w:r>
            <w:r w:rsidRPr="00D858B9">
              <w:rPr>
                <w:rFonts w:asciiTheme="minorHAnsi" w:hAnsiTheme="minorHAnsi" w:cstheme="minorHAnsi"/>
                <w:szCs w:val="22"/>
              </w:rPr>
              <w:t xml:space="preserve"> </w:t>
            </w:r>
          </w:p>
        </w:tc>
      </w:tr>
      <w:tr w:rsidR="00D858B9" w:rsidRPr="003F7B15" w14:paraId="5CDB9269" w14:textId="77777777" w:rsidTr="00121868">
        <w:trPr>
          <w:trHeight w:val="540"/>
          <w:jc w:val="center"/>
        </w:trPr>
        <w:tc>
          <w:tcPr>
            <w:tcW w:w="1354" w:type="pct"/>
          </w:tcPr>
          <w:p w14:paraId="4B54AEF7" w14:textId="77777777" w:rsidR="00D858B9" w:rsidRPr="00D858B9" w:rsidRDefault="00D858B9" w:rsidP="00121868">
            <w:pPr>
              <w:rPr>
                <w:bCs/>
              </w:rPr>
            </w:pPr>
            <w:r w:rsidRPr="00D858B9">
              <w:rPr>
                <w:bCs/>
              </w:rPr>
              <w:t>Genetic modification method</w:t>
            </w:r>
          </w:p>
        </w:tc>
        <w:tc>
          <w:tcPr>
            <w:tcW w:w="3646" w:type="pct"/>
          </w:tcPr>
          <w:p w14:paraId="0AC90543" w14:textId="77777777" w:rsidR="00D858B9" w:rsidRPr="00D858B9" w:rsidRDefault="00D858B9" w:rsidP="00121868">
            <w:r w:rsidRPr="00D858B9">
              <w:rPr>
                <w:i/>
                <w:iCs/>
              </w:rPr>
              <w:t>Agrobacterium</w:t>
            </w:r>
            <w:r w:rsidRPr="00D858B9">
              <w:t>-mediated transformation</w:t>
            </w:r>
          </w:p>
        </w:tc>
      </w:tr>
      <w:tr w:rsidR="00D858B9" w:rsidRPr="003F7B15" w14:paraId="4E9C577D" w14:textId="77777777" w:rsidTr="00121868">
        <w:trPr>
          <w:trHeight w:val="540"/>
          <w:jc w:val="center"/>
        </w:trPr>
        <w:tc>
          <w:tcPr>
            <w:tcW w:w="1354" w:type="pct"/>
          </w:tcPr>
          <w:p w14:paraId="6E8CB363" w14:textId="77777777" w:rsidR="00D858B9" w:rsidRPr="00D858B9" w:rsidRDefault="00D858B9" w:rsidP="00121868">
            <w:pPr>
              <w:rPr>
                <w:bCs/>
              </w:rPr>
            </w:pPr>
            <w:r w:rsidRPr="00D858B9">
              <w:lastRenderedPageBreak/>
              <w:t>Number of lines</w:t>
            </w:r>
          </w:p>
        </w:tc>
        <w:tc>
          <w:tcPr>
            <w:tcW w:w="3646" w:type="pct"/>
          </w:tcPr>
          <w:p w14:paraId="26CAD6BA" w14:textId="77777777" w:rsidR="00D858B9" w:rsidRPr="00D858B9" w:rsidRDefault="00D858B9" w:rsidP="00121868">
            <w:pPr>
              <w:rPr>
                <w:i/>
                <w:iCs/>
              </w:rPr>
            </w:pPr>
            <w:r w:rsidRPr="00D858B9">
              <w:rPr>
                <w:rFonts w:cs="Calibri"/>
                <w:iCs/>
              </w:rPr>
              <w:t xml:space="preserve">Up to 10 </w:t>
            </w:r>
            <w:r w:rsidRPr="00D858B9">
              <w:t xml:space="preserve">lines </w:t>
            </w:r>
            <w:r w:rsidRPr="00D858B9">
              <w:rPr>
                <w:rFonts w:cs="Calibri"/>
                <w:iCs/>
              </w:rPr>
              <w:t>using single and stacked combinations of the above herbicide tolerance and insect resistance genes</w:t>
            </w:r>
          </w:p>
        </w:tc>
      </w:tr>
      <w:tr w:rsidR="00D858B9" w:rsidRPr="003F7B15" w14:paraId="77132245" w14:textId="77777777" w:rsidTr="00121868">
        <w:trPr>
          <w:trHeight w:val="556"/>
          <w:jc w:val="center"/>
        </w:trPr>
        <w:tc>
          <w:tcPr>
            <w:tcW w:w="1354" w:type="pct"/>
          </w:tcPr>
          <w:p w14:paraId="5ED53FE8" w14:textId="77777777" w:rsidR="00D858B9" w:rsidRPr="00D858B9" w:rsidRDefault="00D858B9" w:rsidP="00121868">
            <w:pPr>
              <w:rPr>
                <w:b/>
                <w:bCs/>
                <w:i/>
              </w:rPr>
            </w:pPr>
            <w:r w:rsidRPr="00D858B9">
              <w:rPr>
                <w:b/>
                <w:bCs/>
                <w:i/>
              </w:rPr>
              <w:t>Principal purpose</w:t>
            </w:r>
          </w:p>
        </w:tc>
        <w:tc>
          <w:tcPr>
            <w:tcW w:w="3646" w:type="pct"/>
          </w:tcPr>
          <w:p w14:paraId="36019DE5" w14:textId="77777777" w:rsidR="00D858B9" w:rsidRPr="00D858B9" w:rsidRDefault="00D858B9" w:rsidP="00121868">
            <w:r w:rsidRPr="00D858B9">
              <w:t>To evaluate the agronomic performance of the genetically modified cotton under field conditions</w:t>
            </w:r>
          </w:p>
        </w:tc>
      </w:tr>
      <w:tr w:rsidR="00D858B9" w:rsidRPr="003F7B15" w14:paraId="215008AC" w14:textId="77777777" w:rsidTr="00121868">
        <w:trPr>
          <w:trHeight w:val="1933"/>
          <w:jc w:val="center"/>
        </w:trPr>
        <w:tc>
          <w:tcPr>
            <w:tcW w:w="1354" w:type="pct"/>
          </w:tcPr>
          <w:p w14:paraId="3416A73B" w14:textId="77777777" w:rsidR="00D858B9" w:rsidRPr="00D858B9" w:rsidRDefault="00D858B9" w:rsidP="00121868">
            <w:pPr>
              <w:rPr>
                <w:b/>
                <w:bCs/>
                <w:i/>
              </w:rPr>
            </w:pPr>
            <w:r w:rsidRPr="00D858B9">
              <w:rPr>
                <w:b/>
                <w:bCs/>
                <w:i/>
              </w:rPr>
              <w:t>Previous releases</w:t>
            </w:r>
          </w:p>
        </w:tc>
        <w:tc>
          <w:tcPr>
            <w:tcW w:w="3646" w:type="pct"/>
          </w:tcPr>
          <w:p w14:paraId="641A4724" w14:textId="583723A2" w:rsidR="00D858B9" w:rsidRPr="00D858B9" w:rsidRDefault="00D858B9" w:rsidP="00121868">
            <w:pPr>
              <w:keepNext/>
              <w:widowControl w:val="0"/>
              <w:tabs>
                <w:tab w:val="right" w:leader="dot" w:pos="9356"/>
              </w:tabs>
              <w:spacing w:before="60" w:after="60"/>
              <w:rPr>
                <w:rFonts w:eastAsia="Times New Roman" w:cs="Calibri"/>
                <w:lang w:eastAsia="en-AU"/>
              </w:rPr>
            </w:pPr>
            <w:r w:rsidRPr="00D858B9">
              <w:rPr>
                <w:rFonts w:eastAsia="Times New Roman" w:cs="Calibri"/>
                <w:lang w:eastAsia="en-AU"/>
              </w:rPr>
              <w:t>The application proposes the use of some GM cotton (</w:t>
            </w:r>
            <w:r w:rsidR="002B5403" w:rsidRPr="00D858B9">
              <w:rPr>
                <w:rFonts w:eastAsia="Times New Roman"/>
                <w:i/>
                <w:iCs/>
                <w:lang w:eastAsia="en-AU"/>
              </w:rPr>
              <w:t>G</w:t>
            </w:r>
            <w:r w:rsidR="002B5403">
              <w:rPr>
                <w:rFonts w:eastAsia="Times New Roman"/>
                <w:i/>
                <w:iCs/>
                <w:lang w:eastAsia="en-AU"/>
              </w:rPr>
              <w:t>.</w:t>
            </w:r>
            <w:r w:rsidR="002B5403" w:rsidRPr="00D858B9">
              <w:rPr>
                <w:rFonts w:eastAsia="Times New Roman"/>
                <w:i/>
                <w:iCs/>
                <w:lang w:eastAsia="en-AU"/>
              </w:rPr>
              <w:t xml:space="preserve"> </w:t>
            </w:r>
            <w:proofErr w:type="spellStart"/>
            <w:r w:rsidRPr="00D858B9">
              <w:rPr>
                <w:rFonts w:eastAsia="Times New Roman"/>
                <w:i/>
                <w:iCs/>
                <w:lang w:eastAsia="en-AU"/>
              </w:rPr>
              <w:t>hirsutum</w:t>
            </w:r>
            <w:proofErr w:type="spellEnd"/>
            <w:r w:rsidRPr="00D858B9">
              <w:rPr>
                <w:rFonts w:eastAsia="Times New Roman" w:cs="Calibri"/>
                <w:lang w:eastAsia="en-AU"/>
              </w:rPr>
              <w:t>) varieties previously authorised for release in Australia under the commercial licences DIR 066/2006, DIR 118, DIR 145, DIR 157 and DIR 173, and the limited and controlled licence DIR 147.</w:t>
            </w:r>
          </w:p>
          <w:p w14:paraId="5F281F92" w14:textId="77777777" w:rsidR="00D858B9" w:rsidRPr="00D858B9" w:rsidRDefault="00D858B9" w:rsidP="00121868">
            <w:r w:rsidRPr="00D858B9">
              <w:rPr>
                <w:rFonts w:eastAsia="Times New Roman" w:cs="Calibri"/>
                <w:lang w:eastAsia="en-AU"/>
              </w:rPr>
              <w:t>The application also proposes the use of 2 GM cotton varieties</w:t>
            </w:r>
            <w:r w:rsidRPr="00D858B9">
              <w:rPr>
                <w:rFonts w:eastAsia="Times New Roman"/>
                <w:vertAlign w:val="superscript"/>
                <w:lang w:eastAsia="en-AU"/>
              </w:rPr>
              <w:t>2</w:t>
            </w:r>
            <w:r w:rsidRPr="00D858B9">
              <w:rPr>
                <w:rFonts w:eastAsia="Times New Roman" w:cs="Calibri"/>
                <w:lang w:eastAsia="en-AU"/>
              </w:rPr>
              <w:t xml:space="preserve"> with herbicide tolerance and insect resistance traits, not previously authorised for release in Australia</w:t>
            </w:r>
          </w:p>
        </w:tc>
      </w:tr>
      <w:tr w:rsidR="00D858B9" w:rsidRPr="003F7B15" w14:paraId="638C8FCA" w14:textId="77777777" w:rsidTr="00121868">
        <w:trPr>
          <w:trHeight w:val="262"/>
          <w:jc w:val="center"/>
        </w:trPr>
        <w:tc>
          <w:tcPr>
            <w:tcW w:w="5000" w:type="pct"/>
            <w:gridSpan w:val="2"/>
          </w:tcPr>
          <w:p w14:paraId="16695FCA" w14:textId="77777777" w:rsidR="00D858B9" w:rsidRPr="00D858B9" w:rsidRDefault="00D858B9" w:rsidP="00121868">
            <w:pPr>
              <w:rPr>
                <w:b/>
                <w:i/>
              </w:rPr>
            </w:pPr>
            <w:r w:rsidRPr="00D858B9">
              <w:rPr>
                <w:b/>
                <w:i/>
              </w:rPr>
              <w:t>Proposed limits</w:t>
            </w:r>
          </w:p>
        </w:tc>
      </w:tr>
      <w:tr w:rsidR="00D858B9" w:rsidRPr="003F7B15" w14:paraId="5C4EDCD5" w14:textId="77777777" w:rsidTr="00121868">
        <w:trPr>
          <w:trHeight w:val="277"/>
          <w:jc w:val="center"/>
        </w:trPr>
        <w:tc>
          <w:tcPr>
            <w:tcW w:w="1354" w:type="pct"/>
          </w:tcPr>
          <w:p w14:paraId="22751632" w14:textId="77777777" w:rsidR="00D858B9" w:rsidRPr="00D858B9" w:rsidRDefault="00D858B9" w:rsidP="00121868">
            <w:pPr>
              <w:rPr>
                <w:bCs/>
              </w:rPr>
            </w:pPr>
            <w:r w:rsidRPr="00D858B9">
              <w:rPr>
                <w:bCs/>
              </w:rPr>
              <w:t>Proposed use of GM plants</w:t>
            </w:r>
          </w:p>
        </w:tc>
        <w:tc>
          <w:tcPr>
            <w:tcW w:w="3646" w:type="pct"/>
          </w:tcPr>
          <w:p w14:paraId="00E13F87" w14:textId="77777777" w:rsidR="00D858B9" w:rsidRPr="00D858B9" w:rsidRDefault="00D858B9" w:rsidP="00121868">
            <w:r w:rsidRPr="00D858B9">
              <w:t>No use in human food or animal feed proposed</w:t>
            </w:r>
          </w:p>
        </w:tc>
      </w:tr>
      <w:tr w:rsidR="00D858B9" w:rsidRPr="003F7B15" w14:paraId="17C15608" w14:textId="77777777" w:rsidTr="00121868">
        <w:trPr>
          <w:trHeight w:val="819"/>
          <w:jc w:val="center"/>
        </w:trPr>
        <w:tc>
          <w:tcPr>
            <w:tcW w:w="1354" w:type="pct"/>
          </w:tcPr>
          <w:p w14:paraId="587AB976" w14:textId="77777777" w:rsidR="00D858B9" w:rsidRPr="00D858B9" w:rsidRDefault="00D858B9" w:rsidP="00121868">
            <w:pPr>
              <w:rPr>
                <w:bCs/>
              </w:rPr>
            </w:pPr>
            <w:r w:rsidRPr="00D858B9">
              <w:rPr>
                <w:bCs/>
              </w:rPr>
              <w:t>Proposed locations</w:t>
            </w:r>
          </w:p>
        </w:tc>
        <w:tc>
          <w:tcPr>
            <w:tcW w:w="3646" w:type="pct"/>
          </w:tcPr>
          <w:p w14:paraId="7729C040" w14:textId="77777777" w:rsidR="00D858B9" w:rsidRPr="00D858B9" w:rsidRDefault="00D858B9" w:rsidP="00121868">
            <w:r w:rsidRPr="00D858B9">
              <w:t>Up to 25 trial sites to be selected from 62 possible local government areas in Victoria, New South Wales, Queensland, Western Australia, and the Northern Territory.</w:t>
            </w:r>
          </w:p>
        </w:tc>
      </w:tr>
      <w:tr w:rsidR="00D858B9" w:rsidRPr="003F7B15" w14:paraId="1F389D2A" w14:textId="77777777" w:rsidTr="00121868">
        <w:trPr>
          <w:trHeight w:val="556"/>
          <w:jc w:val="center"/>
        </w:trPr>
        <w:tc>
          <w:tcPr>
            <w:tcW w:w="1354" w:type="pct"/>
          </w:tcPr>
          <w:p w14:paraId="6F0E3144" w14:textId="77777777" w:rsidR="00D858B9" w:rsidRPr="00D858B9" w:rsidRDefault="00D858B9" w:rsidP="00121868">
            <w:pPr>
              <w:rPr>
                <w:bCs/>
              </w:rPr>
            </w:pPr>
            <w:r w:rsidRPr="00D858B9">
              <w:rPr>
                <w:bCs/>
              </w:rPr>
              <w:t>Proposed release size</w:t>
            </w:r>
          </w:p>
        </w:tc>
        <w:tc>
          <w:tcPr>
            <w:tcW w:w="3646" w:type="pct"/>
          </w:tcPr>
          <w:p w14:paraId="0E84FF08" w14:textId="77777777" w:rsidR="00D858B9" w:rsidRPr="00D858B9" w:rsidRDefault="00D858B9" w:rsidP="00121868">
            <w:pPr>
              <w:rPr>
                <w:iCs/>
              </w:rPr>
            </w:pPr>
            <w:r w:rsidRPr="00D858B9">
              <w:rPr>
                <w:iCs/>
              </w:rPr>
              <w:t>A combined total area of 10 ha in 2024, 50 ha per year in 2025-2027 and 100 ha per year in 2028-2029</w:t>
            </w:r>
          </w:p>
        </w:tc>
      </w:tr>
      <w:tr w:rsidR="00D858B9" w:rsidRPr="003F7B15" w14:paraId="5815300B" w14:textId="77777777" w:rsidTr="00121868">
        <w:trPr>
          <w:trHeight w:val="262"/>
          <w:jc w:val="center"/>
        </w:trPr>
        <w:tc>
          <w:tcPr>
            <w:tcW w:w="1354" w:type="pct"/>
          </w:tcPr>
          <w:p w14:paraId="59F22421" w14:textId="77777777" w:rsidR="00D858B9" w:rsidRPr="00D858B9" w:rsidRDefault="00D858B9" w:rsidP="00121868">
            <w:pPr>
              <w:rPr>
                <w:bCs/>
              </w:rPr>
            </w:pPr>
            <w:r w:rsidRPr="00D858B9">
              <w:rPr>
                <w:bCs/>
              </w:rPr>
              <w:t>Proposed period of release</w:t>
            </w:r>
          </w:p>
        </w:tc>
        <w:tc>
          <w:tcPr>
            <w:tcW w:w="3646" w:type="pct"/>
          </w:tcPr>
          <w:p w14:paraId="3960F7F4" w14:textId="77777777" w:rsidR="00D858B9" w:rsidRPr="00D858B9" w:rsidRDefault="00D858B9" w:rsidP="00121868">
            <w:r w:rsidRPr="00D858B9">
              <w:t>From September 2024 until September 2029</w:t>
            </w:r>
          </w:p>
        </w:tc>
      </w:tr>
    </w:tbl>
    <w:p w14:paraId="3FE0FF1F" w14:textId="77777777" w:rsidR="00D858B9" w:rsidRPr="00D858B9" w:rsidRDefault="00D858B9" w:rsidP="00D858B9">
      <w:pPr>
        <w:pStyle w:val="Heading1"/>
        <w:spacing w:before="120" w:after="120"/>
        <w:rPr>
          <w:i/>
          <w:iCs/>
          <w:sz w:val="24"/>
          <w:szCs w:val="24"/>
        </w:rPr>
      </w:pPr>
      <w:bookmarkStart w:id="19" w:name="_Toc106180669"/>
      <w:bookmarkStart w:id="20" w:name="_Toc166573929"/>
      <w:r w:rsidRPr="00D858B9">
        <w:rPr>
          <w:i/>
          <w:iCs/>
          <w:sz w:val="24"/>
          <w:szCs w:val="24"/>
        </w:rPr>
        <w:t>Risk assessment</w:t>
      </w:r>
      <w:bookmarkEnd w:id="19"/>
      <w:bookmarkEnd w:id="20"/>
    </w:p>
    <w:p w14:paraId="35A81C08" w14:textId="77777777" w:rsidR="00D858B9" w:rsidRPr="00A36341" w:rsidRDefault="00D858B9" w:rsidP="00D858B9">
      <w:pPr>
        <w:rPr>
          <w:rFonts w:eastAsia="Times New Roman"/>
        </w:rPr>
      </w:pPr>
      <w:r w:rsidRPr="00A36341">
        <w:rPr>
          <w:rFonts w:eastAsia="Times New Roman"/>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A36341">
        <w:rPr>
          <w:rFonts w:eastAsia="Times New Roman"/>
        </w:rPr>
        <w:t>taking into account</w:t>
      </w:r>
      <w:proofErr w:type="gramEnd"/>
      <w:r w:rsidRPr="00A36341">
        <w:rPr>
          <w:rFonts w:eastAsia="Times New Roman"/>
        </w:rPr>
        <w:t xml:space="preserve"> current scientific/technical knowledge, information in the application (including proposed limits and controls) and relevant previous approvals. Both the short- and long-term risks are considered.</w:t>
      </w:r>
    </w:p>
    <w:p w14:paraId="0D483B99" w14:textId="77777777" w:rsidR="00D858B9" w:rsidRPr="00A36341" w:rsidRDefault="00D858B9" w:rsidP="00D858B9">
      <w:pPr>
        <w:rPr>
          <w:rFonts w:eastAsia="Times New Roman"/>
        </w:rPr>
      </w:pPr>
      <w:r w:rsidRPr="00A36341">
        <w:rPr>
          <w:rFonts w:eastAsia="Times New Roman"/>
        </w:rPr>
        <w:t xml:space="preserve">Credible pathways to potential harm that were considered included exposure of people or other </w:t>
      </w:r>
      <w:r>
        <w:rPr>
          <w:rFonts w:eastAsia="Times New Roman"/>
        </w:rPr>
        <w:t>non-target</w:t>
      </w:r>
      <w:r w:rsidRPr="00A36341">
        <w:rPr>
          <w:rFonts w:eastAsia="Times New Roman"/>
        </w:rPr>
        <w:t xml:space="preserve"> organisms to the GM plant material, potential for persistence or dispersal of the GMOs, and transfer of the introduced genetic material to non-GM </w:t>
      </w:r>
      <w:r>
        <w:rPr>
          <w:rFonts w:eastAsia="Times New Roman"/>
        </w:rPr>
        <w:t>cotton</w:t>
      </w:r>
      <w:r w:rsidRPr="00A36341">
        <w:rPr>
          <w:rFonts w:eastAsia="Times New Roman"/>
        </w:rPr>
        <w:t xml:space="preserve"> plants. Potential harms associated with these pathways included </w:t>
      </w:r>
      <w:r>
        <w:rPr>
          <w:rFonts w:eastAsia="Times New Roman"/>
        </w:rPr>
        <w:t>adverse health effects in</w:t>
      </w:r>
      <w:r w:rsidRPr="00A36341">
        <w:rPr>
          <w:rFonts w:eastAsia="Times New Roman"/>
        </w:rPr>
        <w:t xml:space="preserve"> people</w:t>
      </w:r>
      <w:r>
        <w:rPr>
          <w:rFonts w:eastAsia="Times New Roman"/>
        </w:rPr>
        <w:t xml:space="preserve"> or</w:t>
      </w:r>
      <w:r w:rsidRPr="00A36341">
        <w:rPr>
          <w:rFonts w:eastAsia="Times New Roman"/>
        </w:rPr>
        <w:t xml:space="preserve"> </w:t>
      </w:r>
      <w:r>
        <w:rPr>
          <w:rFonts w:eastAsia="Times New Roman"/>
        </w:rPr>
        <w:t>non-target</w:t>
      </w:r>
      <w:r w:rsidRPr="00A36341">
        <w:rPr>
          <w:rFonts w:eastAsia="Times New Roman"/>
        </w:rPr>
        <w:t xml:space="preserve"> animals, and environmental harms due to weediness.</w:t>
      </w:r>
    </w:p>
    <w:p w14:paraId="27230425" w14:textId="77777777" w:rsidR="00D858B9" w:rsidRPr="00F53561" w:rsidRDefault="00D858B9" w:rsidP="00D858B9">
      <w:pPr>
        <w:rPr>
          <w:rFonts w:eastAsia="Times New Roman"/>
        </w:rPr>
      </w:pPr>
      <w:r w:rsidRPr="00A36341">
        <w:rPr>
          <w:rFonts w:eastAsia="Times New Roman"/>
        </w:rPr>
        <w:t>The risk assessment concludes that risks to the health and safety of people or the environment from the proposed dealings are negligible. No specific risk treatment measures are required to manage these negligible risks.</w:t>
      </w:r>
      <w:r>
        <w:rPr>
          <w:rFonts w:eastAsia="Times New Roman"/>
        </w:rPr>
        <w:t xml:space="preserve"> </w:t>
      </w:r>
      <w:r w:rsidRPr="00A36341">
        <w:rPr>
          <w:rFonts w:eastAsia="Times New Roman"/>
        </w:rPr>
        <w:t xml:space="preserve">The principal reasons for the conclusion of </w:t>
      </w:r>
      <w:r w:rsidRPr="00A36341">
        <w:rPr>
          <w:rFonts w:eastAsia="Times New Roman"/>
          <w:color w:val="000000" w:themeColor="text1"/>
        </w:rPr>
        <w:t>negligible</w:t>
      </w:r>
      <w:r w:rsidRPr="00A36341">
        <w:rPr>
          <w:rFonts w:eastAsia="Times New Roman"/>
          <w:color w:val="00B0F0"/>
        </w:rPr>
        <w:t xml:space="preserve"> </w:t>
      </w:r>
      <w:r w:rsidRPr="00A36341">
        <w:rPr>
          <w:rFonts w:eastAsia="Times New Roman"/>
        </w:rPr>
        <w:t xml:space="preserve">risks are that the proposed limits and controls, such as not using GM plant material in </w:t>
      </w:r>
      <w:r>
        <w:rPr>
          <w:rFonts w:eastAsia="Times New Roman"/>
        </w:rPr>
        <w:t xml:space="preserve">human </w:t>
      </w:r>
      <w:r w:rsidRPr="00A36341">
        <w:rPr>
          <w:rFonts w:eastAsia="Times New Roman"/>
        </w:rPr>
        <w:t>food or animal feed, will effectively minimise exposure to the GMOs. In addition, there is no evidence to suggest the introduced genetic modifications would lead to harm to people or the environment.</w:t>
      </w:r>
    </w:p>
    <w:p w14:paraId="0562D5B0" w14:textId="77777777" w:rsidR="00D858B9" w:rsidRPr="00D858B9" w:rsidRDefault="00D858B9" w:rsidP="00D858B9">
      <w:pPr>
        <w:pStyle w:val="Heading1"/>
        <w:spacing w:before="120" w:after="120"/>
        <w:rPr>
          <w:i/>
          <w:iCs/>
          <w:sz w:val="24"/>
          <w:szCs w:val="24"/>
        </w:rPr>
      </w:pPr>
      <w:bookmarkStart w:id="21" w:name="_Toc106180670"/>
      <w:bookmarkStart w:id="22" w:name="_Toc166573930"/>
      <w:r w:rsidRPr="00D858B9">
        <w:rPr>
          <w:i/>
          <w:iCs/>
          <w:sz w:val="24"/>
          <w:szCs w:val="24"/>
        </w:rPr>
        <w:lastRenderedPageBreak/>
        <w:t>Risk management plan</w:t>
      </w:r>
      <w:bookmarkEnd w:id="21"/>
      <w:bookmarkEnd w:id="22"/>
    </w:p>
    <w:p w14:paraId="3BAC7709" w14:textId="77777777" w:rsidR="00D858B9" w:rsidRPr="00385378" w:rsidRDefault="00D858B9" w:rsidP="00D858B9">
      <w:pPr>
        <w:rPr>
          <w:rFonts w:eastAsia="SimSun"/>
        </w:rPr>
      </w:pPr>
      <w:r w:rsidRPr="00385378">
        <w:rPr>
          <w:rFonts w:eastAsia="SimSun"/>
        </w:rPr>
        <w:t>The risk management plan describes measures to protect the health and safety of people and to protect the environment by controlling or mitigating risk. The risk management plan is given effect through licence conditions.</w:t>
      </w:r>
    </w:p>
    <w:p w14:paraId="72945BEF" w14:textId="62C796B1" w:rsidR="00280050" w:rsidRDefault="00D858B9" w:rsidP="00D858B9">
      <w:r w:rsidRPr="00D858B9">
        <w:rPr>
          <w:rFonts w:eastAsia="Times New Roman"/>
        </w:rPr>
        <w:t>As the level of risk is considered negligible, specific risk treatment is not required. However, 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destroy GMOs at the end of the trial and to conduct post-harvest monitoring at the trial site to ensure the GMOs are destroyed.</w:t>
      </w:r>
    </w:p>
    <w:sectPr w:rsidR="00280050" w:rsidSect="00A95E0D">
      <w:foot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C220" w14:textId="77777777" w:rsidR="009C1304" w:rsidRDefault="009C1304" w:rsidP="00D858B9">
      <w:pPr>
        <w:spacing w:before="0" w:after="0"/>
      </w:pPr>
      <w:r>
        <w:separator/>
      </w:r>
    </w:p>
  </w:endnote>
  <w:endnote w:type="continuationSeparator" w:id="0">
    <w:p w14:paraId="5B978EB0" w14:textId="77777777" w:rsidR="009C1304" w:rsidRDefault="009C1304" w:rsidP="00D858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7572" w14:textId="77777777" w:rsidR="00D858B9" w:rsidRPr="006F488E" w:rsidRDefault="00D858B9" w:rsidP="00A95E0D">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Pr>
        <w:rFonts w:cs="Calibri"/>
        <w:sz w:val="20"/>
      </w:rPr>
      <w:t xml:space="preserve"> </w:t>
    </w:r>
    <w:r w:rsidRPr="006F488E">
      <w:rPr>
        <w:rFonts w:cs="Calibri"/>
        <w:sz w:val="20"/>
      </w:rPr>
      <w:t>Website: www.ogtr.gov.au</w:t>
    </w:r>
  </w:p>
  <w:p w14:paraId="36103702" w14:textId="77777777" w:rsidR="00D858B9" w:rsidRPr="00A95E0D" w:rsidRDefault="00D858B9" w:rsidP="00A95E0D">
    <w:pPr>
      <w:jc w:val="center"/>
      <w:rPr>
        <w:rFonts w:cs="Calibri"/>
      </w:rPr>
    </w:pPr>
    <w:r w:rsidRPr="006F488E">
      <w:rPr>
        <w:rFonts w:cs="Calibri"/>
        <w:sz w:val="20"/>
      </w:rPr>
      <w:t>Telephone: 1800 181 030</w:t>
    </w:r>
    <w:r w:rsidRPr="006F488E">
      <w:rPr>
        <w:rFonts w:cs="Calibri"/>
        <w:sz w:val="20"/>
      </w:rPr>
      <w:tab/>
    </w:r>
    <w:r>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8A55" w14:textId="77777777" w:rsidR="009C1304" w:rsidRDefault="009C1304" w:rsidP="00D858B9">
      <w:pPr>
        <w:spacing w:before="0" w:after="0"/>
      </w:pPr>
      <w:r>
        <w:separator/>
      </w:r>
    </w:p>
  </w:footnote>
  <w:footnote w:type="continuationSeparator" w:id="0">
    <w:p w14:paraId="37695FC0" w14:textId="77777777" w:rsidR="009C1304" w:rsidRDefault="009C1304" w:rsidP="00D858B9">
      <w:pPr>
        <w:spacing w:before="0" w:after="0"/>
      </w:pPr>
      <w:r>
        <w:continuationSeparator/>
      </w:r>
    </w:p>
  </w:footnote>
  <w:footnote w:id="1">
    <w:p w14:paraId="02E4B047" w14:textId="77777777" w:rsidR="00D858B9" w:rsidRPr="007111C3" w:rsidRDefault="00D858B9" w:rsidP="00D858B9">
      <w:pPr>
        <w:pStyle w:val="FootnoteText"/>
        <w:spacing w:before="60"/>
      </w:pPr>
      <w:r w:rsidRPr="00B0135D">
        <w:rPr>
          <w:rStyle w:val="FootnoteReference"/>
        </w:rPr>
        <w:footnoteRef/>
      </w:r>
      <w:r w:rsidRPr="00B0135D">
        <w:t xml:space="preserve"> </w:t>
      </w:r>
      <w:r w:rsidRPr="00636529">
        <w:t xml:space="preserve">The title of the project as supplied by the applicant is </w:t>
      </w:r>
      <w:r>
        <w:t>“</w:t>
      </w:r>
      <w:r w:rsidRPr="00636529">
        <w:t>Limited and controlled release of</w:t>
      </w:r>
      <w:r>
        <w:t xml:space="preserve"> </w:t>
      </w:r>
      <w:r w:rsidRPr="00AA4B1D">
        <w:rPr>
          <w:i/>
          <w:iCs/>
        </w:rPr>
        <w:t xml:space="preserve">Gossypium </w:t>
      </w:r>
      <w:proofErr w:type="spellStart"/>
      <w:r w:rsidRPr="00AA4B1D">
        <w:rPr>
          <w:i/>
          <w:iCs/>
        </w:rPr>
        <w:t>hirsutum</w:t>
      </w:r>
      <w:proofErr w:type="spellEnd"/>
      <w:r w:rsidRPr="00636529">
        <w:t xml:space="preserve"> (upland cotton)</w:t>
      </w:r>
      <w:r>
        <w:t xml:space="preserve"> </w:t>
      </w:r>
      <w:r w:rsidRPr="00636529">
        <w:t>genetically modified for</w:t>
      </w:r>
      <w:r>
        <w:t xml:space="preserve"> </w:t>
      </w:r>
      <w:r w:rsidRPr="00636529">
        <w:t>herbicide tolerance</w:t>
      </w:r>
      <w:r>
        <w:t xml:space="preserve"> </w:t>
      </w:r>
      <w:r w:rsidRPr="00636529">
        <w:t>and insect resistance</w:t>
      </w:r>
      <w:r>
        <w:t>.”</w:t>
      </w:r>
    </w:p>
  </w:footnote>
  <w:footnote w:id="2">
    <w:p w14:paraId="1A4B48C5" w14:textId="77777777" w:rsidR="00D858B9" w:rsidRPr="00B0135D" w:rsidRDefault="00D858B9" w:rsidP="00D858B9">
      <w:pPr>
        <w:pStyle w:val="FootnoteText"/>
        <w:spacing w:before="60"/>
      </w:pPr>
      <w:r w:rsidRPr="00B0135D">
        <w:rPr>
          <w:vertAlign w:val="superscript"/>
        </w:rPr>
        <w:footnoteRef/>
      </w:r>
      <w:r w:rsidRPr="00B0135D">
        <w:t xml:space="preserve"> Confidential Commercial Information: Some details about</w:t>
      </w:r>
      <w:r>
        <w:t xml:space="preserve"> gene names and sources</w:t>
      </w:r>
      <w:r w:rsidRPr="00B0135D">
        <w:t xml:space="preserve"> in </w:t>
      </w:r>
      <w:r>
        <w:t xml:space="preserve">the </w:t>
      </w:r>
      <w:r w:rsidRPr="00B0135D">
        <w:t xml:space="preserve">GM </w:t>
      </w:r>
      <w:r>
        <w:t>cottons MON 96012 and MON 89151 have been declared</w:t>
      </w:r>
      <w:r w:rsidRPr="00B0135D">
        <w:t xml:space="preserve"> as Confidential Commercial Information under section 185 of the Act. This information </w:t>
      </w:r>
      <w:r>
        <w:t>is</w:t>
      </w:r>
      <w:r w:rsidRPr="00B0135D">
        <w:t xml:space="preserve"> available to the prescribed experts and agencies that will be consulted on this application</w:t>
      </w:r>
      <w:r>
        <w:t xml:space="preserve"> upon request </w:t>
      </w:r>
      <w:proofErr w:type="gramStart"/>
      <w:r>
        <w:t>in the course of</w:t>
      </w:r>
      <w:proofErr w:type="gramEnd"/>
      <w:r>
        <w:t xml:space="preserve"> them performing duties or functions under the Act or under a corresponding State law</w:t>
      </w:r>
      <w:r w:rsidRPr="00B0135D">
        <w:t>. CCI is not available to the public</w:t>
      </w:r>
      <w:r w:rsidRPr="003B328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871" w14:textId="77777777" w:rsidR="00D858B9" w:rsidRDefault="00D858B9">
    <w:pPr>
      <w:pStyle w:val="Header"/>
    </w:pPr>
    <w:r>
      <w:rPr>
        <w:noProof/>
      </w:rPr>
      <w:drawing>
        <wp:inline distT="0" distB="0" distL="0" distR="0" wp14:anchorId="1A7D3876" wp14:editId="50EBCA60">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607CB7"/>
    <w:multiLevelType w:val="hybridMultilevel"/>
    <w:tmpl w:val="DB06090C"/>
    <w:lvl w:ilvl="0" w:tplc="251E476A">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9392">
    <w:abstractNumId w:val="0"/>
  </w:num>
  <w:num w:numId="2" w16cid:durableId="213675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9"/>
    <w:rsid w:val="00280050"/>
    <w:rsid w:val="002B5403"/>
    <w:rsid w:val="00370C72"/>
    <w:rsid w:val="00443087"/>
    <w:rsid w:val="004D4200"/>
    <w:rsid w:val="00947EC5"/>
    <w:rsid w:val="009C1304"/>
    <w:rsid w:val="00D858B9"/>
    <w:rsid w:val="00E07E92"/>
    <w:rsid w:val="00F14D6C"/>
    <w:rsid w:val="00F84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2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9"/>
    <w:pPr>
      <w:spacing w:before="120" w:after="120" w:line="240" w:lineRule="auto"/>
    </w:pPr>
    <w:rPr>
      <w:rFonts w:ascii="Calibri" w:hAnsi="Calibri" w:cstheme="minorBidi"/>
      <w:sz w:val="22"/>
      <w:szCs w:val="22"/>
    </w:rPr>
  </w:style>
  <w:style w:type="paragraph" w:styleId="Heading1">
    <w:name w:val="heading 1"/>
    <w:basedOn w:val="Normal"/>
    <w:next w:val="Normal"/>
    <w:link w:val="Heading1Char"/>
    <w:qFormat/>
    <w:rsid w:val="00D858B9"/>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D85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8B9"/>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semiHidden/>
    <w:rsid w:val="00D858B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858B9"/>
    <w:pPr>
      <w:tabs>
        <w:tab w:val="center" w:pos="4513"/>
        <w:tab w:val="right" w:pos="9026"/>
      </w:tabs>
      <w:spacing w:after="0"/>
    </w:pPr>
  </w:style>
  <w:style w:type="character" w:customStyle="1" w:styleId="HeaderChar">
    <w:name w:val="Header Char"/>
    <w:basedOn w:val="DefaultParagraphFont"/>
    <w:link w:val="Header"/>
    <w:uiPriority w:val="99"/>
    <w:rsid w:val="00D858B9"/>
    <w:rPr>
      <w:rFonts w:ascii="Calibri" w:hAnsi="Calibri" w:cstheme="minorBidi"/>
      <w:sz w:val="22"/>
      <w:szCs w:val="22"/>
    </w:rPr>
  </w:style>
  <w:style w:type="paragraph" w:styleId="Footer">
    <w:name w:val="footer"/>
    <w:basedOn w:val="Normal"/>
    <w:link w:val="FooterChar"/>
    <w:uiPriority w:val="99"/>
    <w:unhideWhenUsed/>
    <w:rsid w:val="00D858B9"/>
    <w:pPr>
      <w:tabs>
        <w:tab w:val="center" w:pos="4513"/>
        <w:tab w:val="right" w:pos="9026"/>
      </w:tabs>
      <w:spacing w:after="0"/>
    </w:pPr>
  </w:style>
  <w:style w:type="character" w:customStyle="1" w:styleId="FooterChar">
    <w:name w:val="Footer Char"/>
    <w:basedOn w:val="DefaultParagraphFont"/>
    <w:link w:val="Footer"/>
    <w:uiPriority w:val="99"/>
    <w:rsid w:val="00D858B9"/>
    <w:rPr>
      <w:rFonts w:ascii="Calibri" w:hAnsi="Calibri" w:cstheme="minorBidi"/>
      <w:sz w:val="22"/>
      <w:szCs w:val="22"/>
    </w:rPr>
  </w:style>
  <w:style w:type="paragraph" w:customStyle="1" w:styleId="RIGHTLIST">
    <w:name w:val="RIGHTLIST"/>
    <w:basedOn w:val="LEFTLIST"/>
    <w:link w:val="RIGHTLISTChar"/>
    <w:rsid w:val="00D858B9"/>
    <w:rPr>
      <w:rFonts w:ascii="Times New Roman" w:hAnsi="Times New Roman" w:cs="Times New Roman"/>
      <w:b w:val="0"/>
      <w:bCs w:val="0"/>
    </w:rPr>
  </w:style>
  <w:style w:type="paragraph" w:customStyle="1" w:styleId="LEFTLIST">
    <w:name w:val="LEFTLIST"/>
    <w:basedOn w:val="Heading1"/>
    <w:rsid w:val="00D858B9"/>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character" w:customStyle="1" w:styleId="RIGHTLISTChar">
    <w:name w:val="RIGHTLIST Char"/>
    <w:basedOn w:val="DefaultParagraphFont"/>
    <w:link w:val="RIGHTLIST"/>
    <w:rsid w:val="00D858B9"/>
    <w:rPr>
      <w:rFonts w:eastAsia="Times New Roman"/>
      <w:sz w:val="22"/>
      <w:szCs w:val="22"/>
      <w:lang w:eastAsia="en-AU"/>
    </w:rPr>
  </w:style>
  <w:style w:type="paragraph" w:styleId="ListParagraph">
    <w:name w:val="List Paragraph"/>
    <w:basedOn w:val="Normal"/>
    <w:link w:val="ListParagraphChar"/>
    <w:uiPriority w:val="34"/>
    <w:qFormat/>
    <w:rsid w:val="00D858B9"/>
    <w:pPr>
      <w:ind w:left="720"/>
      <w:contextualSpacing/>
    </w:pPr>
    <w:rPr>
      <w:rFonts w:eastAsiaTheme="minorEastAsia" w:cs="Times New Roman"/>
      <w:szCs w:val="24"/>
    </w:rPr>
  </w:style>
  <w:style w:type="paragraph" w:styleId="FootnoteText">
    <w:name w:val="footnote text"/>
    <w:basedOn w:val="Normal"/>
    <w:link w:val="FootnoteTextChar"/>
    <w:rsid w:val="00D858B9"/>
    <w:rPr>
      <w:rFonts w:eastAsiaTheme="minorEastAsia" w:cs="Times New Roman"/>
      <w:sz w:val="20"/>
      <w:szCs w:val="20"/>
      <w:lang w:eastAsia="en-AU"/>
    </w:rPr>
  </w:style>
  <w:style w:type="character" w:customStyle="1" w:styleId="FootnoteTextChar">
    <w:name w:val="Footnote Text Char"/>
    <w:basedOn w:val="DefaultParagraphFont"/>
    <w:link w:val="FootnoteText"/>
    <w:rsid w:val="00D858B9"/>
    <w:rPr>
      <w:rFonts w:ascii="Calibri" w:eastAsiaTheme="minorEastAsia" w:hAnsi="Calibri"/>
      <w:sz w:val="20"/>
      <w:szCs w:val="20"/>
      <w:lang w:eastAsia="en-AU"/>
    </w:rPr>
  </w:style>
  <w:style w:type="character" w:styleId="FootnoteReference">
    <w:name w:val="footnote reference"/>
    <w:rsid w:val="00D858B9"/>
    <w:rPr>
      <w:vertAlign w:val="superscript"/>
    </w:rPr>
  </w:style>
  <w:style w:type="character" w:customStyle="1" w:styleId="ListParagraphChar">
    <w:name w:val="List Paragraph Char"/>
    <w:basedOn w:val="DefaultParagraphFont"/>
    <w:link w:val="ListParagraph"/>
    <w:uiPriority w:val="34"/>
    <w:rsid w:val="00D858B9"/>
    <w:rPr>
      <w:rFonts w:ascii="Calibri" w:eastAsiaTheme="minorEastAsia" w:hAnsi="Calibri"/>
      <w:sz w:val="22"/>
    </w:rPr>
  </w:style>
  <w:style w:type="paragraph" w:customStyle="1" w:styleId="Para">
    <w:name w:val="Para"/>
    <w:basedOn w:val="Normal"/>
    <w:link w:val="ParaCharChar"/>
    <w:rsid w:val="00D858B9"/>
    <w:pPr>
      <w:spacing w:before="60" w:after="100"/>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D858B9"/>
    <w:rPr>
      <w:rFonts w:eastAsia="Times New Roman"/>
      <w:lang w:eastAsia="en-AU"/>
    </w:rPr>
  </w:style>
  <w:style w:type="character" w:customStyle="1" w:styleId="cf01">
    <w:name w:val="cf01"/>
    <w:basedOn w:val="DefaultParagraphFont"/>
    <w:rsid w:val="00D858B9"/>
    <w:rPr>
      <w:rFonts w:ascii="Segoe UI" w:hAnsi="Segoe UI" w:cs="Segoe UI" w:hint="default"/>
      <w:sz w:val="18"/>
      <w:szCs w:val="18"/>
    </w:rPr>
  </w:style>
  <w:style w:type="character" w:customStyle="1" w:styleId="cf41">
    <w:name w:val="cf41"/>
    <w:basedOn w:val="DefaultParagraphFont"/>
    <w:rsid w:val="00D858B9"/>
    <w:rPr>
      <w:rFonts w:ascii="Segoe UI" w:hAnsi="Segoe UI" w:cs="Segoe UI" w:hint="default"/>
      <w:i/>
      <w:iCs/>
      <w:sz w:val="18"/>
      <w:szCs w:val="18"/>
    </w:rPr>
  </w:style>
  <w:style w:type="character" w:customStyle="1" w:styleId="cf51">
    <w:name w:val="cf51"/>
    <w:basedOn w:val="DefaultParagraphFont"/>
    <w:rsid w:val="00D858B9"/>
    <w:rPr>
      <w:rFonts w:ascii="Segoe UI" w:hAnsi="Segoe UI" w:cs="Segoe UI" w:hint="default"/>
      <w:sz w:val="18"/>
      <w:szCs w:val="18"/>
    </w:rPr>
  </w:style>
  <w:style w:type="character" w:customStyle="1" w:styleId="cf71">
    <w:name w:val="cf71"/>
    <w:basedOn w:val="DefaultParagraphFont"/>
    <w:rsid w:val="00D858B9"/>
    <w:rPr>
      <w:rFonts w:ascii="Segoe UI" w:hAnsi="Segoe UI" w:cs="Segoe UI" w:hint="default"/>
      <w:i/>
      <w:iCs/>
      <w:sz w:val="18"/>
      <w:szCs w:val="18"/>
    </w:rPr>
  </w:style>
  <w:style w:type="paragraph" w:styleId="Revision">
    <w:name w:val="Revision"/>
    <w:hidden/>
    <w:uiPriority w:val="99"/>
    <w:semiHidden/>
    <w:rsid w:val="002B5403"/>
    <w:pPr>
      <w:spacing w:after="0" w:line="240" w:lineRule="auto"/>
    </w:pPr>
    <w:rPr>
      <w:rFonts w:ascii="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203 - Summary of Risk Assessment and Risk Management Plan</dc:title>
  <dc:subject/>
  <dc:creator/>
  <cp:keywords/>
  <dc:description/>
  <cp:lastModifiedBy/>
  <cp:revision>1</cp:revision>
  <dcterms:created xsi:type="dcterms:W3CDTF">2024-05-14T21:48:00Z</dcterms:created>
  <dcterms:modified xsi:type="dcterms:W3CDTF">2024-05-14T21:48:00Z</dcterms:modified>
</cp:coreProperties>
</file>