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3180" w14:textId="113AD9A4" w:rsidR="00D858B9" w:rsidRPr="00A95E0D" w:rsidRDefault="000F16CA" w:rsidP="00D858B9">
      <w:pPr>
        <w:jc w:val="right"/>
      </w:pPr>
      <w:bookmarkStart w:id="0" w:name="_Toc151567329"/>
      <w:r>
        <w:t>August</w:t>
      </w:r>
      <w:r w:rsidR="00D858B9">
        <w:t xml:space="preserve"> </w:t>
      </w:r>
      <w:r w:rsidR="00D858B9" w:rsidRPr="00A95E0D">
        <w:t>202</w:t>
      </w:r>
      <w:r w:rsidR="00D858B9">
        <w:t>4</w:t>
      </w:r>
      <w:bookmarkEnd w:id="0"/>
    </w:p>
    <w:p w14:paraId="56D2D560" w14:textId="77777777" w:rsidR="00DB1B2B" w:rsidRPr="00DB1B2B" w:rsidRDefault="00DB1B2B" w:rsidP="00DB1B2B">
      <w:pPr>
        <w:spacing w:before="240" w:after="0"/>
        <w:jc w:val="center"/>
        <w:outlineLvl w:val="0"/>
        <w:rPr>
          <w:rFonts w:eastAsia="SimSun" w:cs="Calibri"/>
          <w:b/>
          <w:bCs/>
          <w:kern w:val="28"/>
          <w:sz w:val="36"/>
          <w:szCs w:val="36"/>
        </w:rPr>
      </w:pPr>
      <w:bookmarkStart w:id="1" w:name="_Toc172625645"/>
      <w:bookmarkStart w:id="2" w:name="_Toc355007993"/>
      <w:bookmarkStart w:id="3" w:name="_Toc474484240"/>
      <w:bookmarkStart w:id="4" w:name="_Toc98836533"/>
      <w:bookmarkStart w:id="5" w:name="_Toc156901926"/>
      <w:bookmarkStart w:id="6" w:name="_Toc166573926"/>
      <w:bookmarkStart w:id="7" w:name="_Toc209859545"/>
      <w:bookmarkStart w:id="8" w:name="_Toc236620543"/>
      <w:bookmarkStart w:id="9" w:name="_Toc259790166"/>
      <w:bookmarkStart w:id="10" w:name="_Toc198434571"/>
      <w:bookmarkStart w:id="11" w:name="_Toc167164262"/>
      <w:bookmarkStart w:id="12" w:name="_Toc174765844"/>
      <w:bookmarkStart w:id="13" w:name="_Toc377743543"/>
      <w:r w:rsidRPr="00DB1B2B">
        <w:rPr>
          <w:rFonts w:eastAsia="SimSun" w:cs="Calibri"/>
          <w:b/>
          <w:bCs/>
          <w:kern w:val="28"/>
          <w:sz w:val="36"/>
          <w:szCs w:val="36"/>
        </w:rPr>
        <w:t>Summary of the Risk Assessment and Risk Management Plan</w:t>
      </w:r>
      <w:bookmarkEnd w:id="1"/>
    </w:p>
    <w:p w14:paraId="7150A68E" w14:textId="77777777" w:rsidR="00DB1B2B" w:rsidRPr="00DB1B2B" w:rsidRDefault="00DB1B2B" w:rsidP="00DB1B2B">
      <w:pPr>
        <w:jc w:val="center"/>
        <w:rPr>
          <w:rFonts w:eastAsia="SimSun" w:cs="Calibri"/>
          <w:sz w:val="36"/>
          <w:szCs w:val="36"/>
        </w:rPr>
      </w:pPr>
      <w:r w:rsidRPr="00DB1B2B">
        <w:rPr>
          <w:rFonts w:eastAsia="Times New Roman" w:cs="Calibri"/>
          <w:b/>
          <w:sz w:val="36"/>
          <w:szCs w:val="36"/>
        </w:rPr>
        <w:t>for</w:t>
      </w:r>
    </w:p>
    <w:p w14:paraId="3E1277E4" w14:textId="43E6DC62" w:rsidR="00DB1B2B" w:rsidRPr="00DB1B2B" w:rsidRDefault="00DB1B2B" w:rsidP="00DB1B2B">
      <w:pPr>
        <w:jc w:val="center"/>
        <w:rPr>
          <w:rFonts w:eastAsia="Times New Roman" w:cs="Calibri"/>
          <w:b/>
          <w:sz w:val="36"/>
          <w:szCs w:val="36"/>
        </w:rPr>
      </w:pPr>
      <w:r w:rsidRPr="00DB1B2B">
        <w:rPr>
          <w:rFonts w:eastAsia="Times New Roman" w:cs="Calibri"/>
          <w:b/>
          <w:sz w:val="36"/>
          <w:szCs w:val="36"/>
        </w:rPr>
        <w:t>Licence Application No. DIR 20</w:t>
      </w:r>
      <w:r w:rsidR="005431C6">
        <w:rPr>
          <w:rFonts w:eastAsia="Times New Roman" w:cs="Calibri"/>
          <w:b/>
          <w:sz w:val="36"/>
          <w:szCs w:val="36"/>
        </w:rPr>
        <w:t>2</w:t>
      </w:r>
    </w:p>
    <w:p w14:paraId="658E4BA7" w14:textId="77777777" w:rsidR="00DB1B2B" w:rsidRPr="00DB1B2B" w:rsidRDefault="00DB1B2B" w:rsidP="00DB1B2B">
      <w:pPr>
        <w:keepNext/>
        <w:tabs>
          <w:tab w:val="left" w:pos="1418"/>
        </w:tabs>
        <w:spacing w:before="240" w:after="60"/>
        <w:ind w:left="1418" w:hanging="1418"/>
        <w:outlineLvl w:val="1"/>
        <w:rPr>
          <w:rFonts w:eastAsia="Times New Roman" w:cs="Calibri"/>
          <w:szCs w:val="28"/>
          <w:lang w:eastAsia="en-AU"/>
        </w:rPr>
      </w:pPr>
      <w:bookmarkStart w:id="14" w:name="_Toc172625646"/>
      <w:bookmarkStart w:id="15" w:name="_Toc427320058"/>
      <w:r w:rsidRPr="00DB1B2B">
        <w:rPr>
          <w:rFonts w:eastAsia="Times New Roman" w:cs="Calibri"/>
          <w:b/>
          <w:bCs/>
          <w:i/>
          <w:iCs/>
          <w:szCs w:val="28"/>
          <w:lang w:eastAsia="en-AU"/>
        </w:rPr>
        <w:t>Decision</w:t>
      </w:r>
      <w:bookmarkEnd w:id="14"/>
    </w:p>
    <w:p w14:paraId="1EF9401A" w14:textId="69CBDC61" w:rsidR="00DB1B2B" w:rsidRPr="00DB1B2B" w:rsidRDefault="00DB1B2B" w:rsidP="00DB1B2B">
      <w:pPr>
        <w:rPr>
          <w:rFonts w:eastAsia="Times New Roman" w:cs="Times New Roman"/>
          <w:b/>
          <w:bCs/>
          <w:i/>
          <w:szCs w:val="24"/>
        </w:rPr>
      </w:pPr>
      <w:r w:rsidRPr="00DB1B2B">
        <w:rPr>
          <w:rFonts w:eastAsia="Times New Roman" w:cs="Times New Roman"/>
          <w:szCs w:val="24"/>
        </w:rPr>
        <w:t xml:space="preserve">The Gene Technology Regulator (the Regulator) has decided to issue a licence for this application for the intentional release of a genetically modified organism (GMO) into the environment. A Risk Assessment and Risk Management Plan (RARMP) for this application has been prepared by the Regulator in accordance with the </w:t>
      </w:r>
      <w:r w:rsidRPr="00DB1B2B">
        <w:rPr>
          <w:rFonts w:eastAsia="Times New Roman" w:cs="Times New Roman"/>
          <w:i/>
          <w:iCs/>
          <w:szCs w:val="24"/>
        </w:rPr>
        <w:t>Gene Technology Act 2000</w:t>
      </w:r>
      <w:r w:rsidRPr="00DB1B2B">
        <w:rPr>
          <w:rFonts w:eastAsia="Times New Roman" w:cs="Times New Roman"/>
          <w:szCs w:val="24"/>
        </w:rPr>
        <w:t xml:space="preserve"> (the Act) and corresponding state and territory legislation, and finalised following consultation with a wide range of experts, agencies and authorities, and the public. The RARMP concluded that the proposed </w:t>
      </w:r>
      <w:r w:rsidR="005431C6">
        <w:rPr>
          <w:rFonts w:eastAsia="Times New Roman" w:cs="Times New Roman"/>
          <w:szCs w:val="24"/>
        </w:rPr>
        <w:t>commercial supply poses</w:t>
      </w:r>
      <w:r w:rsidRPr="00DB1B2B">
        <w:rPr>
          <w:rFonts w:eastAsia="Times New Roman" w:cs="Times New Roman"/>
          <w:szCs w:val="24"/>
        </w:rPr>
        <w:t xml:space="preserve"> negligible risk to human health and safety and the environment and that any risks posed by the dealings can be managed by imposing conditions on the release.</w:t>
      </w:r>
    </w:p>
    <w:p w14:paraId="5B1CF7A4" w14:textId="77777777" w:rsidR="00DB1B2B" w:rsidRPr="005431C6" w:rsidRDefault="00DB1B2B" w:rsidP="00DB1B2B">
      <w:pPr>
        <w:keepNext/>
        <w:tabs>
          <w:tab w:val="left" w:pos="1418"/>
        </w:tabs>
        <w:spacing w:before="240" w:after="60"/>
        <w:ind w:left="1418" w:hanging="1418"/>
        <w:outlineLvl w:val="1"/>
        <w:rPr>
          <w:rFonts w:asciiTheme="minorHAnsi" w:eastAsia="Times New Roman" w:hAnsiTheme="minorHAnsi" w:cstheme="minorHAnsi"/>
          <w:b/>
          <w:bCs/>
          <w:i/>
          <w:iCs/>
          <w:lang w:eastAsia="en-AU"/>
        </w:rPr>
      </w:pPr>
      <w:bookmarkStart w:id="16" w:name="_Toc172625647"/>
      <w:bookmarkEnd w:id="15"/>
      <w:r w:rsidRPr="005431C6">
        <w:rPr>
          <w:rFonts w:asciiTheme="minorHAnsi" w:eastAsia="Times New Roman" w:hAnsiTheme="minorHAnsi" w:cstheme="minorHAnsi"/>
          <w:b/>
          <w:bCs/>
          <w:i/>
          <w:iCs/>
          <w:lang w:eastAsia="en-AU"/>
        </w:rPr>
        <w:t>The application</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343"/>
      </w:tblGrid>
      <w:tr w:rsidR="005431C6" w:rsidRPr="005431C6" w14:paraId="2C0CAC93" w14:textId="77777777" w:rsidTr="00F90FD1">
        <w:tc>
          <w:tcPr>
            <w:tcW w:w="2263" w:type="dxa"/>
            <w:tcBorders>
              <w:top w:val="single" w:sz="4" w:space="0" w:color="auto"/>
              <w:left w:val="single" w:sz="4" w:space="0" w:color="auto"/>
              <w:bottom w:val="single" w:sz="4" w:space="0" w:color="auto"/>
              <w:right w:val="single" w:sz="4" w:space="0" w:color="auto"/>
            </w:tcBorders>
            <w:hideMark/>
          </w:tcPr>
          <w:p w14:paraId="4644390C" w14:textId="77777777" w:rsidR="005431C6" w:rsidRPr="005431C6" w:rsidRDefault="005431C6" w:rsidP="00F90FD1">
            <w:pPr>
              <w:spacing w:before="60" w:after="60"/>
              <w:rPr>
                <w:rFonts w:asciiTheme="minorHAnsi" w:hAnsiTheme="minorHAnsi" w:cstheme="minorHAnsi"/>
                <w:b/>
              </w:rPr>
            </w:pPr>
            <w:r w:rsidRPr="005431C6">
              <w:rPr>
                <w:rFonts w:asciiTheme="minorHAnsi" w:hAnsiTheme="minorHAnsi" w:cstheme="minorHAnsi"/>
                <w:b/>
              </w:rPr>
              <w:t>Application number</w:t>
            </w:r>
          </w:p>
        </w:tc>
        <w:tc>
          <w:tcPr>
            <w:tcW w:w="7343" w:type="dxa"/>
            <w:tcBorders>
              <w:top w:val="single" w:sz="4" w:space="0" w:color="auto"/>
              <w:left w:val="single" w:sz="4" w:space="0" w:color="auto"/>
              <w:bottom w:val="single" w:sz="4" w:space="0" w:color="auto"/>
              <w:right w:val="single" w:sz="4" w:space="0" w:color="auto"/>
            </w:tcBorders>
          </w:tcPr>
          <w:p w14:paraId="424D56ED" w14:textId="77777777" w:rsidR="005431C6" w:rsidRPr="005431C6" w:rsidRDefault="005431C6" w:rsidP="00F90FD1">
            <w:pPr>
              <w:spacing w:before="60" w:after="60"/>
              <w:rPr>
                <w:rFonts w:asciiTheme="minorHAnsi" w:hAnsiTheme="minorHAnsi" w:cstheme="minorHAnsi"/>
              </w:rPr>
            </w:pPr>
            <w:r w:rsidRPr="005431C6">
              <w:rPr>
                <w:rFonts w:asciiTheme="minorHAnsi" w:hAnsiTheme="minorHAnsi" w:cstheme="minorHAnsi"/>
              </w:rPr>
              <w:t>DIR-202</w:t>
            </w:r>
          </w:p>
        </w:tc>
      </w:tr>
      <w:tr w:rsidR="005431C6" w:rsidRPr="005431C6" w14:paraId="2F3D5461" w14:textId="77777777" w:rsidTr="00F90FD1">
        <w:tc>
          <w:tcPr>
            <w:tcW w:w="2263" w:type="dxa"/>
            <w:tcBorders>
              <w:top w:val="single" w:sz="4" w:space="0" w:color="auto"/>
              <w:left w:val="single" w:sz="4" w:space="0" w:color="auto"/>
              <w:bottom w:val="single" w:sz="4" w:space="0" w:color="auto"/>
              <w:right w:val="single" w:sz="4" w:space="0" w:color="auto"/>
            </w:tcBorders>
            <w:hideMark/>
          </w:tcPr>
          <w:p w14:paraId="7D453B25" w14:textId="77777777" w:rsidR="005431C6" w:rsidRPr="005431C6" w:rsidRDefault="005431C6" w:rsidP="00F90FD1">
            <w:pPr>
              <w:spacing w:before="60" w:after="60"/>
              <w:rPr>
                <w:rFonts w:asciiTheme="minorHAnsi" w:hAnsiTheme="minorHAnsi" w:cstheme="minorHAnsi"/>
                <w:b/>
              </w:rPr>
            </w:pPr>
            <w:r w:rsidRPr="005431C6">
              <w:rPr>
                <w:rFonts w:asciiTheme="minorHAnsi" w:hAnsiTheme="minorHAnsi" w:cstheme="minorHAnsi"/>
                <w:b/>
              </w:rPr>
              <w:t>Applicant</w:t>
            </w:r>
          </w:p>
        </w:tc>
        <w:tc>
          <w:tcPr>
            <w:tcW w:w="7343" w:type="dxa"/>
            <w:tcBorders>
              <w:top w:val="single" w:sz="4" w:space="0" w:color="auto"/>
              <w:left w:val="single" w:sz="4" w:space="0" w:color="auto"/>
              <w:bottom w:val="single" w:sz="4" w:space="0" w:color="auto"/>
              <w:right w:val="single" w:sz="4" w:space="0" w:color="auto"/>
            </w:tcBorders>
          </w:tcPr>
          <w:p w14:paraId="63FB0009" w14:textId="77777777" w:rsidR="005431C6" w:rsidRPr="005431C6" w:rsidRDefault="005431C6" w:rsidP="00F90FD1">
            <w:pPr>
              <w:spacing w:before="60" w:after="60"/>
              <w:rPr>
                <w:rFonts w:asciiTheme="minorHAnsi" w:hAnsiTheme="minorHAnsi" w:cstheme="minorHAnsi"/>
              </w:rPr>
            </w:pPr>
            <w:proofErr w:type="spellStart"/>
            <w:r w:rsidRPr="005431C6">
              <w:rPr>
                <w:rFonts w:asciiTheme="minorHAnsi" w:hAnsiTheme="minorHAnsi" w:cstheme="minorHAnsi"/>
              </w:rPr>
              <w:t>Intervet</w:t>
            </w:r>
            <w:proofErr w:type="spellEnd"/>
            <w:r w:rsidRPr="005431C6">
              <w:rPr>
                <w:rFonts w:asciiTheme="minorHAnsi" w:hAnsiTheme="minorHAnsi" w:cstheme="minorHAnsi"/>
              </w:rPr>
              <w:t xml:space="preserve"> Australia Pty Ltd</w:t>
            </w:r>
          </w:p>
        </w:tc>
      </w:tr>
      <w:tr w:rsidR="005431C6" w:rsidRPr="005431C6" w14:paraId="3ABC352D" w14:textId="77777777" w:rsidTr="00F90FD1">
        <w:tc>
          <w:tcPr>
            <w:tcW w:w="2263" w:type="dxa"/>
            <w:tcBorders>
              <w:top w:val="single" w:sz="4" w:space="0" w:color="auto"/>
              <w:left w:val="single" w:sz="4" w:space="0" w:color="auto"/>
              <w:bottom w:val="single" w:sz="4" w:space="0" w:color="auto"/>
              <w:right w:val="single" w:sz="4" w:space="0" w:color="auto"/>
            </w:tcBorders>
            <w:hideMark/>
          </w:tcPr>
          <w:p w14:paraId="5EDAD16C" w14:textId="77777777" w:rsidR="005431C6" w:rsidRPr="005431C6" w:rsidRDefault="005431C6" w:rsidP="00F90FD1">
            <w:pPr>
              <w:spacing w:before="60" w:after="60"/>
              <w:rPr>
                <w:rFonts w:asciiTheme="minorHAnsi" w:hAnsiTheme="minorHAnsi" w:cstheme="minorHAnsi"/>
                <w:b/>
              </w:rPr>
            </w:pPr>
            <w:r w:rsidRPr="005431C6">
              <w:rPr>
                <w:rFonts w:asciiTheme="minorHAnsi" w:hAnsiTheme="minorHAnsi" w:cstheme="minorHAnsi"/>
                <w:b/>
              </w:rPr>
              <w:t>Project title</w:t>
            </w:r>
          </w:p>
        </w:tc>
        <w:tc>
          <w:tcPr>
            <w:tcW w:w="7343" w:type="dxa"/>
            <w:tcBorders>
              <w:top w:val="single" w:sz="4" w:space="0" w:color="auto"/>
              <w:left w:val="single" w:sz="4" w:space="0" w:color="auto"/>
              <w:bottom w:val="single" w:sz="4" w:space="0" w:color="auto"/>
              <w:right w:val="single" w:sz="4" w:space="0" w:color="auto"/>
            </w:tcBorders>
          </w:tcPr>
          <w:p w14:paraId="0BA10151" w14:textId="77777777" w:rsidR="005431C6" w:rsidRPr="005431C6" w:rsidRDefault="005431C6" w:rsidP="00F90FD1">
            <w:pPr>
              <w:spacing w:before="60" w:after="60"/>
              <w:rPr>
                <w:rFonts w:asciiTheme="minorHAnsi" w:hAnsiTheme="minorHAnsi" w:cstheme="minorHAnsi"/>
              </w:rPr>
            </w:pPr>
            <w:r w:rsidRPr="005431C6">
              <w:rPr>
                <w:rFonts w:asciiTheme="minorHAnsi" w:hAnsiTheme="minorHAnsi" w:cstheme="minorHAnsi"/>
              </w:rPr>
              <w:t>Commercial supply of a live attenuated vaccine containing canine distemper virus and a genetically modified canine parvovirus (</w:t>
            </w:r>
            <w:proofErr w:type="spellStart"/>
            <w:r w:rsidRPr="005431C6">
              <w:rPr>
                <w:rFonts w:asciiTheme="minorHAnsi" w:hAnsiTheme="minorHAnsi" w:cstheme="minorHAnsi"/>
              </w:rPr>
              <w:t>Nobivac</w:t>
            </w:r>
            <w:proofErr w:type="spellEnd"/>
            <w:r w:rsidRPr="005431C6">
              <w:rPr>
                <w:rFonts w:asciiTheme="minorHAnsi" w:hAnsiTheme="minorHAnsi" w:cstheme="minorHAnsi"/>
              </w:rPr>
              <w:t xml:space="preserve"> Puppy DP Plus) for dogs</w:t>
            </w:r>
            <w:r w:rsidRPr="005431C6">
              <w:rPr>
                <w:rStyle w:val="FootnoteReference"/>
                <w:rFonts w:asciiTheme="minorHAnsi" w:hAnsiTheme="minorHAnsi" w:cstheme="minorHAnsi"/>
              </w:rPr>
              <w:footnoteReference w:id="1"/>
            </w:r>
          </w:p>
        </w:tc>
      </w:tr>
      <w:tr w:rsidR="005431C6" w:rsidRPr="005431C6" w14:paraId="57DD0A8F" w14:textId="77777777" w:rsidTr="00F90FD1">
        <w:tc>
          <w:tcPr>
            <w:tcW w:w="2263" w:type="dxa"/>
            <w:tcBorders>
              <w:top w:val="single" w:sz="4" w:space="0" w:color="auto"/>
              <w:left w:val="single" w:sz="4" w:space="0" w:color="auto"/>
              <w:bottom w:val="single" w:sz="4" w:space="0" w:color="auto"/>
              <w:right w:val="single" w:sz="4" w:space="0" w:color="auto"/>
            </w:tcBorders>
            <w:hideMark/>
          </w:tcPr>
          <w:p w14:paraId="6150D464" w14:textId="77777777" w:rsidR="005431C6" w:rsidRPr="005431C6" w:rsidRDefault="005431C6" w:rsidP="00F90FD1">
            <w:pPr>
              <w:spacing w:before="60" w:after="60"/>
              <w:rPr>
                <w:rFonts w:asciiTheme="minorHAnsi" w:hAnsiTheme="minorHAnsi" w:cstheme="minorHAnsi"/>
                <w:b/>
              </w:rPr>
            </w:pPr>
            <w:r w:rsidRPr="005431C6">
              <w:rPr>
                <w:rFonts w:asciiTheme="minorHAnsi" w:hAnsiTheme="minorHAnsi" w:cstheme="minorHAnsi"/>
                <w:b/>
              </w:rPr>
              <w:t>Parent organism</w:t>
            </w:r>
          </w:p>
        </w:tc>
        <w:tc>
          <w:tcPr>
            <w:tcW w:w="7343" w:type="dxa"/>
            <w:tcBorders>
              <w:top w:val="single" w:sz="4" w:space="0" w:color="auto"/>
              <w:left w:val="single" w:sz="4" w:space="0" w:color="auto"/>
              <w:bottom w:val="single" w:sz="4" w:space="0" w:color="auto"/>
              <w:right w:val="single" w:sz="4" w:space="0" w:color="auto"/>
            </w:tcBorders>
          </w:tcPr>
          <w:p w14:paraId="74F0E062" w14:textId="77777777" w:rsidR="005431C6" w:rsidRPr="005431C6" w:rsidRDefault="005431C6" w:rsidP="00F90FD1">
            <w:pPr>
              <w:spacing w:before="60" w:after="60"/>
              <w:rPr>
                <w:rFonts w:asciiTheme="minorHAnsi" w:hAnsiTheme="minorHAnsi" w:cstheme="minorHAnsi"/>
              </w:rPr>
            </w:pPr>
            <w:r w:rsidRPr="005431C6">
              <w:rPr>
                <w:rFonts w:asciiTheme="minorHAnsi" w:hAnsiTheme="minorHAnsi" w:cstheme="minorHAnsi"/>
              </w:rPr>
              <w:t>Canine parvovirus type 2 (CPV-2)</w:t>
            </w:r>
          </w:p>
        </w:tc>
      </w:tr>
      <w:tr w:rsidR="005431C6" w:rsidRPr="005431C6" w14:paraId="7809F651" w14:textId="77777777" w:rsidTr="00F90FD1">
        <w:tc>
          <w:tcPr>
            <w:tcW w:w="2263" w:type="dxa"/>
            <w:tcBorders>
              <w:top w:val="single" w:sz="4" w:space="0" w:color="auto"/>
              <w:left w:val="single" w:sz="4" w:space="0" w:color="auto"/>
              <w:bottom w:val="single" w:sz="4" w:space="0" w:color="auto"/>
              <w:right w:val="single" w:sz="4" w:space="0" w:color="auto"/>
            </w:tcBorders>
            <w:hideMark/>
          </w:tcPr>
          <w:p w14:paraId="55EAECA2" w14:textId="77777777" w:rsidR="005431C6" w:rsidRPr="005431C6" w:rsidRDefault="005431C6" w:rsidP="00F90FD1">
            <w:pPr>
              <w:spacing w:before="60" w:after="60"/>
              <w:rPr>
                <w:rFonts w:asciiTheme="minorHAnsi" w:hAnsiTheme="minorHAnsi" w:cstheme="minorHAnsi"/>
                <w:b/>
              </w:rPr>
            </w:pPr>
            <w:r w:rsidRPr="005431C6">
              <w:rPr>
                <w:rFonts w:asciiTheme="minorHAnsi" w:hAnsiTheme="minorHAnsi" w:cstheme="minorHAnsi"/>
                <w:b/>
              </w:rPr>
              <w:t>Introduced gene and modified trait</w:t>
            </w:r>
          </w:p>
        </w:tc>
        <w:tc>
          <w:tcPr>
            <w:tcW w:w="7343" w:type="dxa"/>
            <w:tcBorders>
              <w:top w:val="single" w:sz="4" w:space="0" w:color="auto"/>
              <w:left w:val="single" w:sz="4" w:space="0" w:color="auto"/>
              <w:bottom w:val="single" w:sz="4" w:space="0" w:color="auto"/>
              <w:right w:val="single" w:sz="4" w:space="0" w:color="auto"/>
            </w:tcBorders>
          </w:tcPr>
          <w:p w14:paraId="3084F724" w14:textId="77777777" w:rsidR="005431C6" w:rsidRPr="005431C6" w:rsidRDefault="005431C6" w:rsidP="00F90FD1">
            <w:pPr>
              <w:pStyle w:val="RIGHTLIST"/>
              <w:autoSpaceDE w:val="0"/>
              <w:autoSpaceDN w:val="0"/>
              <w:spacing w:before="0"/>
              <w:jc w:val="both"/>
              <w:rPr>
                <w:rFonts w:asciiTheme="minorHAnsi" w:hAnsiTheme="minorHAnsi" w:cstheme="minorHAnsi"/>
                <w:iCs/>
              </w:rPr>
            </w:pPr>
            <w:r w:rsidRPr="005431C6">
              <w:rPr>
                <w:rFonts w:asciiTheme="minorHAnsi" w:hAnsiTheme="minorHAnsi" w:cstheme="minorHAnsi"/>
                <w:iCs/>
              </w:rPr>
              <w:t xml:space="preserve">Introduction of a wild type CPV-2c capsid into the attenuated CPV 154 strain, resulting in an attenuated live vaccine that does not cause severe disease in dogs. </w:t>
            </w:r>
          </w:p>
        </w:tc>
      </w:tr>
      <w:tr w:rsidR="005431C6" w:rsidRPr="005431C6" w14:paraId="5C066B32" w14:textId="77777777" w:rsidTr="00F90FD1">
        <w:tc>
          <w:tcPr>
            <w:tcW w:w="2263" w:type="dxa"/>
            <w:tcBorders>
              <w:top w:val="single" w:sz="4" w:space="0" w:color="auto"/>
              <w:left w:val="single" w:sz="4" w:space="0" w:color="auto"/>
              <w:bottom w:val="single" w:sz="4" w:space="0" w:color="auto"/>
              <w:right w:val="single" w:sz="4" w:space="0" w:color="auto"/>
            </w:tcBorders>
          </w:tcPr>
          <w:p w14:paraId="313B8440" w14:textId="77777777" w:rsidR="005431C6" w:rsidRPr="005431C6" w:rsidRDefault="005431C6" w:rsidP="00F90FD1">
            <w:pPr>
              <w:spacing w:before="60" w:after="60"/>
              <w:rPr>
                <w:rFonts w:asciiTheme="minorHAnsi" w:hAnsiTheme="minorHAnsi" w:cstheme="minorHAnsi"/>
              </w:rPr>
            </w:pPr>
            <w:r w:rsidRPr="005431C6">
              <w:rPr>
                <w:rFonts w:asciiTheme="minorHAnsi" w:hAnsiTheme="minorHAnsi" w:cstheme="minorHAnsi"/>
                <w:b/>
                <w:i/>
              </w:rPr>
              <w:t>Previous releases</w:t>
            </w:r>
          </w:p>
        </w:tc>
        <w:tc>
          <w:tcPr>
            <w:tcW w:w="7343" w:type="dxa"/>
            <w:tcBorders>
              <w:top w:val="single" w:sz="4" w:space="0" w:color="auto"/>
              <w:left w:val="single" w:sz="4" w:space="0" w:color="auto"/>
              <w:bottom w:val="single" w:sz="4" w:space="0" w:color="auto"/>
              <w:right w:val="single" w:sz="4" w:space="0" w:color="auto"/>
            </w:tcBorders>
          </w:tcPr>
          <w:p w14:paraId="534D6AC8" w14:textId="77777777" w:rsidR="005431C6" w:rsidRPr="005431C6" w:rsidRDefault="005431C6" w:rsidP="00F90FD1">
            <w:pPr>
              <w:pStyle w:val="Para"/>
              <w:rPr>
                <w:rFonts w:asciiTheme="minorHAnsi" w:hAnsiTheme="minorHAnsi" w:cstheme="minorHAnsi"/>
                <w:sz w:val="22"/>
                <w:szCs w:val="22"/>
              </w:rPr>
            </w:pPr>
            <w:r w:rsidRPr="005431C6">
              <w:rPr>
                <w:rFonts w:asciiTheme="minorHAnsi" w:hAnsiTheme="minorHAnsi" w:cstheme="minorHAnsi"/>
                <w:sz w:val="22"/>
                <w:szCs w:val="22"/>
              </w:rPr>
              <w:t>The GM vaccine has not been previously approved for release in Australia</w:t>
            </w:r>
          </w:p>
        </w:tc>
      </w:tr>
      <w:tr w:rsidR="005431C6" w:rsidRPr="005431C6" w14:paraId="14500786" w14:textId="77777777" w:rsidTr="00F90FD1">
        <w:tc>
          <w:tcPr>
            <w:tcW w:w="2263" w:type="dxa"/>
            <w:tcBorders>
              <w:top w:val="single" w:sz="4" w:space="0" w:color="auto"/>
              <w:left w:val="single" w:sz="4" w:space="0" w:color="auto"/>
              <w:bottom w:val="single" w:sz="4" w:space="0" w:color="auto"/>
              <w:right w:val="single" w:sz="4" w:space="0" w:color="auto"/>
            </w:tcBorders>
          </w:tcPr>
          <w:p w14:paraId="7D4B569F" w14:textId="77777777" w:rsidR="005431C6" w:rsidRPr="005431C6" w:rsidRDefault="005431C6" w:rsidP="00F90FD1">
            <w:pPr>
              <w:spacing w:before="60" w:after="60"/>
              <w:rPr>
                <w:rFonts w:asciiTheme="minorHAnsi" w:hAnsiTheme="minorHAnsi" w:cstheme="minorHAnsi"/>
              </w:rPr>
            </w:pPr>
            <w:r w:rsidRPr="005431C6">
              <w:rPr>
                <w:rFonts w:asciiTheme="minorHAnsi" w:hAnsiTheme="minorHAnsi" w:cstheme="minorHAnsi"/>
                <w:b/>
              </w:rPr>
              <w:t>Current approvals</w:t>
            </w:r>
          </w:p>
        </w:tc>
        <w:tc>
          <w:tcPr>
            <w:tcW w:w="7343" w:type="dxa"/>
            <w:tcBorders>
              <w:top w:val="single" w:sz="4" w:space="0" w:color="auto"/>
              <w:left w:val="single" w:sz="4" w:space="0" w:color="auto"/>
              <w:bottom w:val="single" w:sz="4" w:space="0" w:color="auto"/>
              <w:right w:val="single" w:sz="4" w:space="0" w:color="auto"/>
            </w:tcBorders>
          </w:tcPr>
          <w:p w14:paraId="4E46FC76" w14:textId="77777777" w:rsidR="005431C6" w:rsidRPr="005431C6" w:rsidRDefault="005431C6" w:rsidP="00F90FD1">
            <w:pPr>
              <w:pStyle w:val="Para"/>
              <w:rPr>
                <w:rFonts w:asciiTheme="minorHAnsi" w:hAnsiTheme="minorHAnsi" w:cstheme="minorHAnsi"/>
                <w:sz w:val="22"/>
                <w:szCs w:val="22"/>
              </w:rPr>
            </w:pPr>
            <w:r w:rsidRPr="005431C6">
              <w:rPr>
                <w:rFonts w:asciiTheme="minorHAnsi" w:hAnsiTheme="minorHAnsi" w:cstheme="minorHAnsi"/>
                <w:sz w:val="22"/>
                <w:szCs w:val="22"/>
              </w:rPr>
              <w:t>The GM vaccine is currently approved for use in 36 countries by the European Medicines Agency and the Philippines Federal Drug Administration.</w:t>
            </w:r>
          </w:p>
        </w:tc>
      </w:tr>
      <w:tr w:rsidR="005431C6" w:rsidRPr="005431C6" w14:paraId="14A2E774" w14:textId="77777777" w:rsidTr="00F90FD1">
        <w:tc>
          <w:tcPr>
            <w:tcW w:w="2263" w:type="dxa"/>
            <w:tcBorders>
              <w:top w:val="single" w:sz="4" w:space="0" w:color="auto"/>
              <w:left w:val="single" w:sz="4" w:space="0" w:color="auto"/>
              <w:bottom w:val="single" w:sz="4" w:space="0" w:color="auto"/>
              <w:right w:val="single" w:sz="4" w:space="0" w:color="auto"/>
            </w:tcBorders>
            <w:hideMark/>
          </w:tcPr>
          <w:p w14:paraId="5D3D4C30" w14:textId="77777777" w:rsidR="005431C6" w:rsidRPr="005431C6" w:rsidRDefault="005431C6" w:rsidP="00F90FD1">
            <w:pPr>
              <w:spacing w:before="60" w:after="60"/>
              <w:rPr>
                <w:rFonts w:asciiTheme="minorHAnsi" w:hAnsiTheme="minorHAnsi" w:cstheme="minorHAnsi"/>
                <w:b/>
              </w:rPr>
            </w:pPr>
            <w:r w:rsidRPr="005431C6">
              <w:rPr>
                <w:rFonts w:asciiTheme="minorHAnsi" w:hAnsiTheme="minorHAnsi" w:cstheme="minorHAnsi"/>
                <w:b/>
              </w:rPr>
              <w:t>Proposed locations</w:t>
            </w:r>
          </w:p>
        </w:tc>
        <w:tc>
          <w:tcPr>
            <w:tcW w:w="7343" w:type="dxa"/>
            <w:tcBorders>
              <w:top w:val="single" w:sz="4" w:space="0" w:color="auto"/>
              <w:left w:val="single" w:sz="4" w:space="0" w:color="auto"/>
              <w:bottom w:val="single" w:sz="4" w:space="0" w:color="auto"/>
              <w:right w:val="single" w:sz="4" w:space="0" w:color="auto"/>
            </w:tcBorders>
          </w:tcPr>
          <w:p w14:paraId="13A0A33C" w14:textId="77777777" w:rsidR="005431C6" w:rsidRPr="005431C6" w:rsidRDefault="005431C6" w:rsidP="00F90FD1">
            <w:pPr>
              <w:spacing w:before="60" w:after="60"/>
              <w:rPr>
                <w:rFonts w:asciiTheme="minorHAnsi" w:hAnsiTheme="minorHAnsi" w:cstheme="minorHAnsi"/>
              </w:rPr>
            </w:pPr>
            <w:r w:rsidRPr="005431C6">
              <w:rPr>
                <w:rFonts w:asciiTheme="minorHAnsi" w:hAnsiTheme="minorHAnsi" w:cstheme="minorHAnsi"/>
              </w:rPr>
              <w:t>Australia-wide</w:t>
            </w:r>
          </w:p>
        </w:tc>
      </w:tr>
      <w:tr w:rsidR="005431C6" w:rsidRPr="005431C6" w14:paraId="183D02BD" w14:textId="77777777" w:rsidTr="00F90FD1">
        <w:tc>
          <w:tcPr>
            <w:tcW w:w="2263" w:type="dxa"/>
            <w:tcBorders>
              <w:top w:val="single" w:sz="4" w:space="0" w:color="auto"/>
              <w:left w:val="single" w:sz="4" w:space="0" w:color="auto"/>
              <w:bottom w:val="single" w:sz="4" w:space="0" w:color="auto"/>
              <w:right w:val="single" w:sz="4" w:space="0" w:color="auto"/>
            </w:tcBorders>
            <w:hideMark/>
          </w:tcPr>
          <w:p w14:paraId="4895F886" w14:textId="77777777" w:rsidR="005431C6" w:rsidRPr="005431C6" w:rsidRDefault="005431C6" w:rsidP="00F90FD1">
            <w:pPr>
              <w:spacing w:before="60" w:after="60"/>
              <w:rPr>
                <w:rFonts w:asciiTheme="minorHAnsi" w:hAnsiTheme="minorHAnsi" w:cstheme="minorHAnsi"/>
                <w:b/>
              </w:rPr>
            </w:pPr>
            <w:r w:rsidRPr="005431C6">
              <w:rPr>
                <w:rFonts w:asciiTheme="minorHAnsi" w:hAnsiTheme="minorHAnsi" w:cstheme="minorHAnsi"/>
                <w:b/>
              </w:rPr>
              <w:t xml:space="preserve">Primary purpose </w:t>
            </w:r>
          </w:p>
        </w:tc>
        <w:tc>
          <w:tcPr>
            <w:tcW w:w="7343" w:type="dxa"/>
            <w:tcBorders>
              <w:top w:val="single" w:sz="4" w:space="0" w:color="auto"/>
              <w:left w:val="single" w:sz="4" w:space="0" w:color="auto"/>
              <w:bottom w:val="single" w:sz="4" w:space="0" w:color="auto"/>
              <w:right w:val="single" w:sz="4" w:space="0" w:color="auto"/>
            </w:tcBorders>
          </w:tcPr>
          <w:p w14:paraId="3C6C0D0A" w14:textId="77777777" w:rsidR="005431C6" w:rsidRPr="005431C6" w:rsidRDefault="005431C6" w:rsidP="00F90FD1">
            <w:pPr>
              <w:spacing w:before="60" w:after="60"/>
              <w:rPr>
                <w:rFonts w:asciiTheme="minorHAnsi" w:hAnsiTheme="minorHAnsi" w:cstheme="minorHAnsi"/>
              </w:rPr>
            </w:pPr>
            <w:r w:rsidRPr="005431C6">
              <w:rPr>
                <w:rFonts w:asciiTheme="minorHAnsi" w:hAnsiTheme="minorHAnsi" w:cstheme="minorHAnsi"/>
              </w:rPr>
              <w:t>Commercial supply of the GM vaccine against CDV and CPV-2 in dogs.</w:t>
            </w:r>
          </w:p>
        </w:tc>
      </w:tr>
    </w:tbl>
    <w:p w14:paraId="1F411025" w14:textId="77777777" w:rsidR="005431C6" w:rsidRPr="00DB1B2B" w:rsidRDefault="005431C6" w:rsidP="005431C6">
      <w:pPr>
        <w:keepNext/>
        <w:tabs>
          <w:tab w:val="left" w:pos="1418"/>
        </w:tabs>
        <w:spacing w:before="240" w:after="60"/>
        <w:outlineLvl w:val="1"/>
        <w:rPr>
          <w:rFonts w:eastAsia="Times New Roman" w:cs="Calibri"/>
          <w:szCs w:val="28"/>
          <w:lang w:eastAsia="en-AU"/>
        </w:rPr>
      </w:pPr>
    </w:p>
    <w:p w14:paraId="244D8065" w14:textId="77777777" w:rsidR="00066942" w:rsidRPr="00066942" w:rsidRDefault="00066942" w:rsidP="00066942">
      <w:pPr>
        <w:keepNext/>
        <w:tabs>
          <w:tab w:val="left" w:pos="1418"/>
        </w:tabs>
        <w:spacing w:before="240" w:after="60"/>
        <w:ind w:left="1418" w:hanging="1418"/>
        <w:outlineLvl w:val="1"/>
        <w:rPr>
          <w:rFonts w:eastAsia="SimSun" w:cs="Calibri"/>
          <w:b/>
          <w:bCs/>
          <w:i/>
          <w:iCs/>
        </w:rPr>
      </w:pPr>
      <w:bookmarkStart w:id="17" w:name="_Toc98836536"/>
      <w:bookmarkStart w:id="18" w:name="_Toc172625648"/>
      <w:bookmarkStart w:id="19" w:name="_Toc209859549"/>
      <w:bookmarkStart w:id="20" w:name="_Toc274904728"/>
      <w:bookmarkStart w:id="21" w:name="_Toc291151778"/>
      <w:bookmarkStart w:id="22" w:name="_Toc355007997"/>
      <w:bookmarkStart w:id="23" w:name="_Toc465862036"/>
      <w:bookmarkStart w:id="24" w:name="_Toc466627806"/>
      <w:r w:rsidRPr="00066942">
        <w:rPr>
          <w:rFonts w:eastAsia="SimSun" w:cs="Calibri"/>
          <w:b/>
          <w:bCs/>
          <w:i/>
          <w:iCs/>
        </w:rPr>
        <w:t xml:space="preserve">Risk </w:t>
      </w:r>
      <w:proofErr w:type="gramStart"/>
      <w:r w:rsidRPr="00066942">
        <w:rPr>
          <w:rFonts w:eastAsia="SimSun" w:cs="Calibri"/>
          <w:b/>
          <w:bCs/>
          <w:i/>
          <w:iCs/>
        </w:rPr>
        <w:t>assessment</w:t>
      </w:r>
      <w:bookmarkEnd w:id="17"/>
      <w:bookmarkEnd w:id="18"/>
      <w:proofErr w:type="gramEnd"/>
    </w:p>
    <w:bookmarkEnd w:id="2"/>
    <w:bookmarkEnd w:id="3"/>
    <w:bookmarkEnd w:id="4"/>
    <w:bookmarkEnd w:id="5"/>
    <w:bookmarkEnd w:id="6"/>
    <w:bookmarkEnd w:id="7"/>
    <w:bookmarkEnd w:id="8"/>
    <w:bookmarkEnd w:id="9"/>
    <w:bookmarkEnd w:id="10"/>
    <w:bookmarkEnd w:id="11"/>
    <w:bookmarkEnd w:id="12"/>
    <w:bookmarkEnd w:id="13"/>
    <w:bookmarkEnd w:id="19"/>
    <w:bookmarkEnd w:id="20"/>
    <w:bookmarkEnd w:id="21"/>
    <w:bookmarkEnd w:id="22"/>
    <w:bookmarkEnd w:id="23"/>
    <w:bookmarkEnd w:id="24"/>
    <w:p w14:paraId="0A8419AE" w14:textId="77777777" w:rsidR="005431C6" w:rsidRPr="005431C6" w:rsidRDefault="005431C6" w:rsidP="005431C6">
      <w:pPr>
        <w:rPr>
          <w:bCs/>
        </w:rPr>
      </w:pPr>
      <w:r w:rsidRPr="005431C6">
        <w:t xml:space="preserve">The risk assessment concludes that risks to the health and safety of people are negligible and the risks to the environment from the proposed supply of this vaccine are </w:t>
      </w:r>
      <w:r w:rsidRPr="005431C6">
        <w:rPr>
          <w:bCs/>
        </w:rPr>
        <w:t>negligible</w:t>
      </w:r>
      <w:r w:rsidRPr="005431C6">
        <w:t>. S</w:t>
      </w:r>
      <w:r w:rsidRPr="005431C6">
        <w:rPr>
          <w:bCs/>
        </w:rPr>
        <w:t>pecific risk treatment measures are included in the licence to maintain the risk context.</w:t>
      </w:r>
    </w:p>
    <w:p w14:paraId="08D9E103" w14:textId="77777777" w:rsidR="005431C6" w:rsidRPr="005431C6" w:rsidRDefault="005431C6" w:rsidP="005431C6">
      <w:r w:rsidRPr="005431C6">
        <w:lastRenderedPageBreak/>
        <w:t xml:space="preserve">The principal reasons for the conclusion of negligible risks associated with import, transport, </w:t>
      </w:r>
      <w:proofErr w:type="gramStart"/>
      <w:r w:rsidRPr="005431C6">
        <w:t>storage</w:t>
      </w:r>
      <w:proofErr w:type="gramEnd"/>
      <w:r w:rsidRPr="005431C6">
        <w:t xml:space="preserve"> and disposal of the GMO are: </w:t>
      </w:r>
    </w:p>
    <w:p w14:paraId="2999D76E" w14:textId="77777777" w:rsidR="005431C6" w:rsidRPr="005431C6" w:rsidRDefault="005431C6" w:rsidP="005431C6">
      <w:pPr>
        <w:numPr>
          <w:ilvl w:val="0"/>
          <w:numId w:val="5"/>
        </w:numPr>
      </w:pPr>
      <w:r w:rsidRPr="005431C6">
        <w:t xml:space="preserve">The GMO has a limited host range, is attenuated and unlikely to cause disease in dogs or other susceptible mammalian </w:t>
      </w:r>
      <w:proofErr w:type="gramStart"/>
      <w:r w:rsidRPr="005431C6">
        <w:t>species;</w:t>
      </w:r>
      <w:proofErr w:type="gramEnd"/>
    </w:p>
    <w:p w14:paraId="0DEA584D" w14:textId="77777777" w:rsidR="005431C6" w:rsidRPr="005431C6" w:rsidRDefault="005431C6" w:rsidP="005431C6">
      <w:pPr>
        <w:numPr>
          <w:ilvl w:val="0"/>
          <w:numId w:val="5"/>
        </w:numPr>
      </w:pPr>
      <w:r w:rsidRPr="005431C6">
        <w:t xml:space="preserve">Canine parvovirus does not cause disease in humans or animals other than dogs, except for some susceptible mammalian carnivore species including big </w:t>
      </w:r>
      <w:proofErr w:type="gramStart"/>
      <w:r w:rsidRPr="005431C6">
        <w:t>cats;</w:t>
      </w:r>
      <w:proofErr w:type="gramEnd"/>
    </w:p>
    <w:p w14:paraId="724A446E" w14:textId="77777777" w:rsidR="005431C6" w:rsidRPr="005431C6" w:rsidRDefault="005431C6" w:rsidP="005431C6">
      <w:pPr>
        <w:numPr>
          <w:ilvl w:val="0"/>
          <w:numId w:val="4"/>
        </w:numPr>
      </w:pPr>
      <w:r w:rsidRPr="005431C6">
        <w:t xml:space="preserve">The likelihood of accidental exposure to the GMO by people and the environment would be minimised due to well-established transport, storage and disposal procedures that are regulated by each State and Territory; and local </w:t>
      </w:r>
      <w:proofErr w:type="gramStart"/>
      <w:r w:rsidRPr="005431C6">
        <w:t>councils;</w:t>
      </w:r>
      <w:proofErr w:type="gramEnd"/>
      <w:r w:rsidRPr="005431C6">
        <w:t xml:space="preserve"> </w:t>
      </w:r>
    </w:p>
    <w:p w14:paraId="26303496" w14:textId="77777777" w:rsidR="005431C6" w:rsidRPr="005431C6" w:rsidRDefault="005431C6" w:rsidP="005431C6">
      <w:pPr>
        <w:numPr>
          <w:ilvl w:val="0"/>
          <w:numId w:val="4"/>
        </w:numPr>
      </w:pPr>
      <w:r w:rsidRPr="005431C6">
        <w:t xml:space="preserve">The GMO would be imported under a Department of Agriculture, Fisheries and Forestry (DAFF) import permit, that requires specific import conditions to manage biosecurity </w:t>
      </w:r>
      <w:proofErr w:type="gramStart"/>
      <w:r w:rsidRPr="005431C6">
        <w:t>risks;</w:t>
      </w:r>
      <w:proofErr w:type="gramEnd"/>
    </w:p>
    <w:p w14:paraId="225E2574" w14:textId="77777777" w:rsidR="005431C6" w:rsidRPr="005431C6" w:rsidRDefault="005431C6" w:rsidP="005431C6">
      <w:pPr>
        <w:numPr>
          <w:ilvl w:val="0"/>
          <w:numId w:val="4"/>
        </w:numPr>
      </w:pPr>
      <w:r w:rsidRPr="005431C6">
        <w:t xml:space="preserve">The GMO would need to be registered with the APVMA, who would impose conditions on the use, transport, </w:t>
      </w:r>
      <w:proofErr w:type="gramStart"/>
      <w:r w:rsidRPr="005431C6">
        <w:t>storage</w:t>
      </w:r>
      <w:proofErr w:type="gramEnd"/>
      <w:r w:rsidRPr="005431C6">
        <w:t xml:space="preserve"> and disposal of the vaccine; and </w:t>
      </w:r>
    </w:p>
    <w:p w14:paraId="10CF8725" w14:textId="77777777" w:rsidR="005431C6" w:rsidRPr="005431C6" w:rsidRDefault="005431C6" w:rsidP="005431C6">
      <w:pPr>
        <w:numPr>
          <w:ilvl w:val="0"/>
          <w:numId w:val="4"/>
        </w:numPr>
      </w:pPr>
      <w:r w:rsidRPr="005431C6">
        <w:t xml:space="preserve">Recombination of the GMO with another parvoviruses </w:t>
      </w:r>
      <w:proofErr w:type="gramStart"/>
      <w:r w:rsidRPr="005431C6">
        <w:t>is</w:t>
      </w:r>
      <w:proofErr w:type="gramEnd"/>
      <w:r w:rsidRPr="005431C6">
        <w:t xml:space="preserve"> possible but since the vaccine contains genetic material from CPV-2 similar to that circulating in Australia, similar genetic material would already be present in the environment.</w:t>
      </w:r>
    </w:p>
    <w:p w14:paraId="04804C2B" w14:textId="77777777" w:rsidR="005431C6" w:rsidRPr="005431C6" w:rsidRDefault="005431C6" w:rsidP="005431C6">
      <w:pPr>
        <w:rPr>
          <w:b/>
          <w:i/>
        </w:rPr>
      </w:pPr>
      <w:r w:rsidRPr="005431C6">
        <w:rPr>
          <w:b/>
          <w:i/>
        </w:rPr>
        <w:t xml:space="preserve">Risk </w:t>
      </w:r>
      <w:proofErr w:type="gramStart"/>
      <w:r w:rsidRPr="005431C6">
        <w:rPr>
          <w:b/>
          <w:i/>
        </w:rPr>
        <w:t>management</w:t>
      </w:r>
      <w:proofErr w:type="gramEnd"/>
    </w:p>
    <w:p w14:paraId="48F6CA2A" w14:textId="77777777" w:rsidR="005431C6" w:rsidRPr="005431C6" w:rsidRDefault="005431C6" w:rsidP="005431C6">
      <w:r w:rsidRPr="005431C6">
        <w:t xml:space="preserve">Risk management is used to protect the health and safety of people and to protect the environment by controlling or mitigating risk. The risk management plan </w:t>
      </w:r>
      <w:proofErr w:type="gramStart"/>
      <w:r w:rsidRPr="005431C6">
        <w:t>evaluates</w:t>
      </w:r>
      <w:proofErr w:type="gramEnd"/>
      <w:r w:rsidRPr="005431C6">
        <w:t xml:space="preserve"> and treats identified risks and considers general risk management measures. The risk management plan is given effect through licence conditions.</w:t>
      </w:r>
    </w:p>
    <w:p w14:paraId="3EB67E1B" w14:textId="46B44DDB" w:rsidR="005431C6" w:rsidRPr="005431C6" w:rsidRDefault="005431C6" w:rsidP="005431C6">
      <w:r w:rsidRPr="005431C6">
        <w:t xml:space="preserve">The risk management plan concludes the negligible risks can be managed to protect the health and safety of people and the environment. The risk of recombination leading to novel CPV-2 strains was assessed as negligible given the risk context in which the dealings would be conducted which includes APVMA registration. </w:t>
      </w:r>
      <w:r w:rsidR="00850FC6">
        <w:t>To maintain critical aspects of the risk context, a condition requiring the licence holder to advise end users of the vaccine to only</w:t>
      </w:r>
      <w:r w:rsidR="00850FC6" w:rsidRPr="005431C6">
        <w:t xml:space="preserve"> vaccinat</w:t>
      </w:r>
      <w:r w:rsidR="00850FC6">
        <w:t>e</w:t>
      </w:r>
      <w:r w:rsidR="00850FC6" w:rsidRPr="005431C6">
        <w:t xml:space="preserve"> healthy dogs, </w:t>
      </w:r>
      <w:r w:rsidR="00850FC6">
        <w:t xml:space="preserve">and to follow recommended vaccination schedule is </w:t>
      </w:r>
      <w:r w:rsidR="00850FC6" w:rsidRPr="005431C6">
        <w:t>included in the licence.</w:t>
      </w:r>
    </w:p>
    <w:p w14:paraId="7A10AB45" w14:textId="77777777" w:rsidR="005431C6" w:rsidRPr="005431C6" w:rsidRDefault="005431C6" w:rsidP="005431C6">
      <w:r w:rsidRPr="005431C6">
        <w:t xml:space="preserve">General conditions were also included in the licence to ensure that there is ongoing oversight of the GM vaccine. Conditions were included requiring the applicant to report any new information obtained after release of the GMO to allow the collection of information to verify the findings of the RARMP. Post-market surveillance of veterinary vaccines is carried out in an ongoing capacity by State and Territories. The licence also contains </w:t>
      </w:r>
      <w:proofErr w:type="gramStart"/>
      <w:r w:rsidRPr="005431C6">
        <w:t>a number of</w:t>
      </w:r>
      <w:proofErr w:type="gramEnd"/>
      <w:r w:rsidRPr="005431C6">
        <w:t xml:space="preserve"> general conditions relating to ongoing licence holder suitability, auditing and monitoring, and other reporting requirements, which include an obligation to report any unintended effects.</w:t>
      </w:r>
    </w:p>
    <w:p w14:paraId="72945BEF" w14:textId="06CF18FA" w:rsidR="00280050" w:rsidRDefault="00280050" w:rsidP="005431C6"/>
    <w:sectPr w:rsidR="00280050" w:rsidSect="00A95E0D">
      <w:footerReference w:type="default" r:id="rId7"/>
      <w:headerReference w:type="firs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D350D" w14:textId="77777777" w:rsidR="0096205C" w:rsidRDefault="0096205C" w:rsidP="00D858B9">
      <w:pPr>
        <w:spacing w:before="0" w:after="0"/>
      </w:pPr>
      <w:r>
        <w:separator/>
      </w:r>
    </w:p>
  </w:endnote>
  <w:endnote w:type="continuationSeparator" w:id="0">
    <w:p w14:paraId="3FB056DB" w14:textId="77777777" w:rsidR="0096205C" w:rsidRDefault="0096205C" w:rsidP="00D858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7572" w14:textId="77777777" w:rsidR="00D858B9" w:rsidRPr="006F488E" w:rsidRDefault="00D858B9" w:rsidP="00A95E0D">
    <w:pPr>
      <w:pBdr>
        <w:top w:val="single" w:sz="4" w:space="1" w:color="auto"/>
      </w:pBdr>
      <w:jc w:val="center"/>
      <w:rPr>
        <w:rFonts w:cs="Calibri"/>
        <w:sz w:val="20"/>
      </w:rPr>
    </w:pPr>
    <w:r w:rsidRPr="006F488E">
      <w:rPr>
        <w:rFonts w:cs="Calibri"/>
        <w:sz w:val="20"/>
      </w:rPr>
      <w:t>Address: MDP 54 GPO Box 9848, Canberra ACT 2601</w:t>
    </w:r>
    <w:r w:rsidRPr="006F488E">
      <w:rPr>
        <w:rFonts w:cs="Calibri"/>
        <w:sz w:val="20"/>
      </w:rPr>
      <w:tab/>
    </w:r>
    <w:r>
      <w:rPr>
        <w:rFonts w:cs="Calibri"/>
        <w:sz w:val="20"/>
      </w:rPr>
      <w:t xml:space="preserve"> </w:t>
    </w:r>
    <w:r w:rsidRPr="006F488E">
      <w:rPr>
        <w:rFonts w:cs="Calibri"/>
        <w:sz w:val="20"/>
      </w:rPr>
      <w:t>Website: www.ogtr.gov.au</w:t>
    </w:r>
  </w:p>
  <w:p w14:paraId="36103702" w14:textId="77777777" w:rsidR="00D858B9" w:rsidRPr="00A95E0D" w:rsidRDefault="00D858B9" w:rsidP="00A95E0D">
    <w:pPr>
      <w:jc w:val="center"/>
      <w:rPr>
        <w:rFonts w:cs="Calibri"/>
      </w:rPr>
    </w:pPr>
    <w:r w:rsidRPr="006F488E">
      <w:rPr>
        <w:rFonts w:cs="Calibri"/>
        <w:sz w:val="20"/>
      </w:rPr>
      <w:t>Telephone: 1800 181 030</w:t>
    </w:r>
    <w:r w:rsidRPr="006F488E">
      <w:rPr>
        <w:rFonts w:cs="Calibri"/>
        <w:sz w:val="20"/>
      </w:rPr>
      <w:tab/>
    </w:r>
    <w:r>
      <w:rPr>
        <w:rFonts w:cs="Calibri"/>
        <w:sz w:val="20"/>
      </w:rPr>
      <w:t xml:space="preserve"> </w:t>
    </w:r>
    <w:r w:rsidRPr="006F488E">
      <w:rPr>
        <w:rFonts w:cs="Calibri"/>
        <w:sz w:val="20"/>
      </w:rPr>
      <w:t>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6F5E7" w14:textId="77777777" w:rsidR="0096205C" w:rsidRDefault="0096205C" w:rsidP="00D858B9">
      <w:pPr>
        <w:spacing w:before="0" w:after="0"/>
      </w:pPr>
      <w:r>
        <w:separator/>
      </w:r>
    </w:p>
  </w:footnote>
  <w:footnote w:type="continuationSeparator" w:id="0">
    <w:p w14:paraId="4C875ADF" w14:textId="77777777" w:rsidR="0096205C" w:rsidRDefault="0096205C" w:rsidP="00D858B9">
      <w:pPr>
        <w:spacing w:before="0" w:after="0"/>
      </w:pPr>
      <w:r>
        <w:continuationSeparator/>
      </w:r>
    </w:p>
  </w:footnote>
  <w:footnote w:id="1">
    <w:p w14:paraId="779ED8C9" w14:textId="77777777" w:rsidR="005431C6" w:rsidRPr="00493482" w:rsidRDefault="005431C6" w:rsidP="005431C6">
      <w:pPr>
        <w:pStyle w:val="FootnoteText"/>
        <w:rPr>
          <w:rFonts w:asciiTheme="minorHAnsi" w:hAnsiTheme="minorHAnsi" w:cstheme="minorHAnsi"/>
        </w:rPr>
      </w:pPr>
      <w:r w:rsidRPr="00493482">
        <w:rPr>
          <w:rStyle w:val="FootnoteReference"/>
          <w:rFonts w:asciiTheme="minorHAnsi" w:hAnsiTheme="minorHAnsi" w:cstheme="minorHAnsi"/>
        </w:rPr>
        <w:footnoteRef/>
      </w:r>
      <w:r w:rsidRPr="00493482">
        <w:rPr>
          <w:rFonts w:asciiTheme="minorHAnsi" w:hAnsiTheme="minorHAnsi" w:cstheme="minorHAnsi"/>
        </w:rPr>
        <w:t xml:space="preserve"> The title for the licence application submitted by </w:t>
      </w:r>
      <w:proofErr w:type="spellStart"/>
      <w:r>
        <w:rPr>
          <w:rFonts w:asciiTheme="minorHAnsi" w:hAnsiTheme="minorHAnsi" w:cstheme="minorHAnsi"/>
        </w:rPr>
        <w:t>Intervet</w:t>
      </w:r>
      <w:proofErr w:type="spellEnd"/>
      <w:r>
        <w:rPr>
          <w:rFonts w:asciiTheme="minorHAnsi" w:hAnsiTheme="minorHAnsi" w:cstheme="minorHAnsi"/>
        </w:rPr>
        <w:t xml:space="preserve"> Australia</w:t>
      </w:r>
      <w:r w:rsidRPr="00493482">
        <w:rPr>
          <w:rFonts w:asciiTheme="minorHAnsi" w:hAnsiTheme="minorHAnsi" w:cstheme="minorHAnsi"/>
        </w:rPr>
        <w:t xml:space="preserve"> Pty Ltd is “</w:t>
      </w:r>
      <w:proofErr w:type="spellStart"/>
      <w:r>
        <w:rPr>
          <w:rFonts w:asciiTheme="minorHAnsi" w:hAnsiTheme="minorHAnsi" w:cstheme="minorHAnsi"/>
        </w:rPr>
        <w:t>Nobivac</w:t>
      </w:r>
      <w:proofErr w:type="spellEnd"/>
      <w:r>
        <w:rPr>
          <w:rFonts w:asciiTheme="minorHAnsi" w:hAnsiTheme="minorHAnsi" w:cstheme="minorHAnsi"/>
        </w:rPr>
        <w:t xml:space="preserve"> Puppy DP Plus Live Vaccine</w:t>
      </w:r>
      <w:r w:rsidRPr="00493482">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A871" w14:textId="77777777" w:rsidR="00D858B9" w:rsidRDefault="00D858B9">
    <w:pPr>
      <w:pStyle w:val="Header"/>
    </w:pPr>
    <w:r>
      <w:rPr>
        <w:noProof/>
      </w:rPr>
      <w:drawing>
        <wp:inline distT="0" distB="0" distL="0" distR="0" wp14:anchorId="1A7D3876" wp14:editId="50EBCA60">
          <wp:extent cx="3330000" cy="763200"/>
          <wp:effectExtent l="0" t="0" r="3810" b="0"/>
          <wp:docPr id="2" name="Picture 2"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94CB5"/>
    <w:multiLevelType w:val="hybridMultilevel"/>
    <w:tmpl w:val="21ECD32A"/>
    <w:lvl w:ilvl="0" w:tplc="AAE82D9A">
      <w:start w:val="1"/>
      <w:numFmt w:val="bullet"/>
      <w:lvlText w:val=""/>
      <w:lvlJc w:val="left"/>
      <w:pPr>
        <w:ind w:left="720" w:hanging="360"/>
      </w:pPr>
      <w:rPr>
        <w:rFonts w:ascii="Symbol" w:hAnsi="Symbol" w:hint="default"/>
        <w:color w:val="000000" w:themeColor="text1"/>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0D0491"/>
    <w:multiLevelType w:val="hybridMultilevel"/>
    <w:tmpl w:val="F2EA986A"/>
    <w:lvl w:ilvl="0" w:tplc="B4C447DC">
      <w:start w:val="1"/>
      <w:numFmt w:val="decimal"/>
      <w:pStyle w:val="RARMPnumberedparagraphs"/>
      <w:lvlText w:val="%1."/>
      <w:lvlJc w:val="left"/>
      <w:pPr>
        <w:ind w:left="4187"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19">
      <w:start w:val="1"/>
      <w:numFmt w:val="lowerLetter"/>
      <w:lvlText w:val="%2."/>
      <w:lvlJc w:val="left"/>
      <w:pPr>
        <w:ind w:left="655" w:hanging="360"/>
      </w:pPr>
    </w:lvl>
    <w:lvl w:ilvl="2" w:tplc="0C09001B">
      <w:start w:val="1"/>
      <w:numFmt w:val="lowerRoman"/>
      <w:lvlText w:val="%3."/>
      <w:lvlJc w:val="right"/>
      <w:pPr>
        <w:ind w:left="1375" w:hanging="180"/>
      </w:pPr>
    </w:lvl>
    <w:lvl w:ilvl="3" w:tplc="0C09000F">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2" w15:restartNumberingAfterBreak="0">
    <w:nsid w:val="48AC2295"/>
    <w:multiLevelType w:val="hybridMultilevel"/>
    <w:tmpl w:val="11A4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607CB7"/>
    <w:multiLevelType w:val="hybridMultilevel"/>
    <w:tmpl w:val="DB06090C"/>
    <w:lvl w:ilvl="0" w:tplc="251E476A">
      <w:start w:val="1"/>
      <w:numFmt w:val="bullet"/>
      <w:lvlText w:val=""/>
      <w:lvlJc w:val="left"/>
      <w:pPr>
        <w:ind w:left="340"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CF66DD"/>
    <w:multiLevelType w:val="hybridMultilevel"/>
    <w:tmpl w:val="1228E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39392">
    <w:abstractNumId w:val="0"/>
  </w:num>
  <w:num w:numId="2" w16cid:durableId="2136755450">
    <w:abstractNumId w:val="3"/>
  </w:num>
  <w:num w:numId="3" w16cid:durableId="1548028847">
    <w:abstractNumId w:val="1"/>
  </w:num>
  <w:num w:numId="4" w16cid:durableId="631978182">
    <w:abstractNumId w:val="2"/>
  </w:num>
  <w:num w:numId="5" w16cid:durableId="1673214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9"/>
    <w:rsid w:val="00066942"/>
    <w:rsid w:val="000F16CA"/>
    <w:rsid w:val="00105AB5"/>
    <w:rsid w:val="001425EC"/>
    <w:rsid w:val="00181D3F"/>
    <w:rsid w:val="00280050"/>
    <w:rsid w:val="002B5403"/>
    <w:rsid w:val="00370C72"/>
    <w:rsid w:val="003934F0"/>
    <w:rsid w:val="00443087"/>
    <w:rsid w:val="004D4200"/>
    <w:rsid w:val="005431C6"/>
    <w:rsid w:val="007A2AC3"/>
    <w:rsid w:val="00850D6A"/>
    <w:rsid w:val="00850FC6"/>
    <w:rsid w:val="00947EC5"/>
    <w:rsid w:val="0096205C"/>
    <w:rsid w:val="009C1304"/>
    <w:rsid w:val="00AB5CFF"/>
    <w:rsid w:val="00B84D89"/>
    <w:rsid w:val="00D858B9"/>
    <w:rsid w:val="00DB1B2B"/>
    <w:rsid w:val="00E07E92"/>
    <w:rsid w:val="00EA377B"/>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122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B9"/>
    <w:pPr>
      <w:spacing w:before="120" w:after="120" w:line="240" w:lineRule="auto"/>
    </w:pPr>
    <w:rPr>
      <w:rFonts w:ascii="Calibri" w:hAnsi="Calibri" w:cstheme="minorBidi"/>
      <w:sz w:val="22"/>
      <w:szCs w:val="22"/>
    </w:rPr>
  </w:style>
  <w:style w:type="paragraph" w:styleId="Heading1">
    <w:name w:val="heading 1"/>
    <w:basedOn w:val="Normal"/>
    <w:next w:val="Normal"/>
    <w:link w:val="Heading1Char"/>
    <w:qFormat/>
    <w:rsid w:val="00D858B9"/>
    <w:pPr>
      <w:keepNext/>
      <w:keepLines/>
      <w:spacing w:before="240" w:after="360"/>
      <w:outlineLvl w:val="0"/>
    </w:pPr>
    <w:rPr>
      <w:rFonts w:eastAsiaTheme="majorEastAsia" w:cstheme="majorBidi"/>
      <w:b/>
      <w:sz w:val="36"/>
      <w:szCs w:val="32"/>
    </w:rPr>
  </w:style>
  <w:style w:type="paragraph" w:styleId="Heading2">
    <w:name w:val="heading 2"/>
    <w:basedOn w:val="Normal"/>
    <w:next w:val="Normal"/>
    <w:link w:val="Heading2Char"/>
    <w:uiPriority w:val="9"/>
    <w:semiHidden/>
    <w:unhideWhenUsed/>
    <w:qFormat/>
    <w:rsid w:val="00D858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8B9"/>
    <w:rPr>
      <w:rFonts w:ascii="Calibri" w:eastAsiaTheme="majorEastAsia" w:hAnsi="Calibri" w:cstheme="majorBidi"/>
      <w:b/>
      <w:sz w:val="36"/>
      <w:szCs w:val="32"/>
    </w:rPr>
  </w:style>
  <w:style w:type="character" w:customStyle="1" w:styleId="Heading2Char">
    <w:name w:val="Heading 2 Char"/>
    <w:basedOn w:val="DefaultParagraphFont"/>
    <w:link w:val="Heading2"/>
    <w:uiPriority w:val="9"/>
    <w:semiHidden/>
    <w:rsid w:val="00D858B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858B9"/>
    <w:pPr>
      <w:tabs>
        <w:tab w:val="center" w:pos="4513"/>
        <w:tab w:val="right" w:pos="9026"/>
      </w:tabs>
      <w:spacing w:after="0"/>
    </w:pPr>
  </w:style>
  <w:style w:type="character" w:customStyle="1" w:styleId="HeaderChar">
    <w:name w:val="Header Char"/>
    <w:basedOn w:val="DefaultParagraphFont"/>
    <w:link w:val="Header"/>
    <w:uiPriority w:val="99"/>
    <w:rsid w:val="00D858B9"/>
    <w:rPr>
      <w:rFonts w:ascii="Calibri" w:hAnsi="Calibri" w:cstheme="minorBidi"/>
      <w:sz w:val="22"/>
      <w:szCs w:val="22"/>
    </w:rPr>
  </w:style>
  <w:style w:type="paragraph" w:styleId="Footer">
    <w:name w:val="footer"/>
    <w:basedOn w:val="Normal"/>
    <w:link w:val="FooterChar"/>
    <w:uiPriority w:val="99"/>
    <w:unhideWhenUsed/>
    <w:rsid w:val="00D858B9"/>
    <w:pPr>
      <w:tabs>
        <w:tab w:val="center" w:pos="4513"/>
        <w:tab w:val="right" w:pos="9026"/>
      </w:tabs>
      <w:spacing w:after="0"/>
    </w:pPr>
  </w:style>
  <w:style w:type="character" w:customStyle="1" w:styleId="FooterChar">
    <w:name w:val="Footer Char"/>
    <w:basedOn w:val="DefaultParagraphFont"/>
    <w:link w:val="Footer"/>
    <w:uiPriority w:val="99"/>
    <w:rsid w:val="00D858B9"/>
    <w:rPr>
      <w:rFonts w:ascii="Calibri" w:hAnsi="Calibri" w:cstheme="minorBidi"/>
      <w:sz w:val="22"/>
      <w:szCs w:val="22"/>
    </w:rPr>
  </w:style>
  <w:style w:type="paragraph" w:customStyle="1" w:styleId="RIGHTLIST">
    <w:name w:val="RIGHTLIST"/>
    <w:basedOn w:val="LEFTLIST"/>
    <w:link w:val="RIGHTLISTChar"/>
    <w:rsid w:val="00D858B9"/>
    <w:rPr>
      <w:rFonts w:ascii="Times New Roman" w:hAnsi="Times New Roman" w:cs="Times New Roman"/>
      <w:b w:val="0"/>
      <w:bCs w:val="0"/>
    </w:rPr>
  </w:style>
  <w:style w:type="paragraph" w:customStyle="1" w:styleId="LEFTLIST">
    <w:name w:val="LEFTLIST"/>
    <w:basedOn w:val="Heading1"/>
    <w:rsid w:val="00D858B9"/>
    <w:pPr>
      <w:keepLines w:val="0"/>
      <w:tabs>
        <w:tab w:val="right" w:leader="dot" w:pos="9356"/>
      </w:tabs>
      <w:spacing w:before="80" w:after="40"/>
      <w:outlineLvl w:val="9"/>
    </w:pPr>
    <w:rPr>
      <w:rFonts w:ascii="Arial Narrow" w:eastAsia="Times New Roman" w:hAnsi="Arial Narrow" w:cs="Arial Narrow"/>
      <w:bCs/>
      <w:sz w:val="22"/>
      <w:szCs w:val="22"/>
      <w:lang w:eastAsia="en-AU"/>
    </w:rPr>
  </w:style>
  <w:style w:type="character" w:customStyle="1" w:styleId="RIGHTLISTChar">
    <w:name w:val="RIGHTLIST Char"/>
    <w:basedOn w:val="DefaultParagraphFont"/>
    <w:link w:val="RIGHTLIST"/>
    <w:rsid w:val="00D858B9"/>
    <w:rPr>
      <w:rFonts w:eastAsia="Times New Roman"/>
      <w:sz w:val="22"/>
      <w:szCs w:val="22"/>
      <w:lang w:eastAsia="en-AU"/>
    </w:rPr>
  </w:style>
  <w:style w:type="paragraph" w:styleId="ListParagraph">
    <w:name w:val="List Paragraph"/>
    <w:basedOn w:val="Normal"/>
    <w:link w:val="ListParagraphChar"/>
    <w:uiPriority w:val="34"/>
    <w:qFormat/>
    <w:rsid w:val="00D858B9"/>
    <w:pPr>
      <w:ind w:left="720"/>
      <w:contextualSpacing/>
    </w:pPr>
    <w:rPr>
      <w:rFonts w:eastAsiaTheme="minorEastAsia" w:cs="Times New Roman"/>
      <w:szCs w:val="24"/>
    </w:rPr>
  </w:style>
  <w:style w:type="paragraph" w:styleId="FootnoteText">
    <w:name w:val="footnote text"/>
    <w:basedOn w:val="Normal"/>
    <w:link w:val="FootnoteTextChar"/>
    <w:rsid w:val="00D858B9"/>
    <w:rPr>
      <w:rFonts w:eastAsiaTheme="minorEastAsia" w:cs="Times New Roman"/>
      <w:sz w:val="20"/>
      <w:szCs w:val="20"/>
      <w:lang w:eastAsia="en-AU"/>
    </w:rPr>
  </w:style>
  <w:style w:type="character" w:customStyle="1" w:styleId="FootnoteTextChar">
    <w:name w:val="Footnote Text Char"/>
    <w:basedOn w:val="DefaultParagraphFont"/>
    <w:link w:val="FootnoteText"/>
    <w:rsid w:val="00D858B9"/>
    <w:rPr>
      <w:rFonts w:ascii="Calibri" w:eastAsiaTheme="minorEastAsia" w:hAnsi="Calibri"/>
      <w:sz w:val="20"/>
      <w:szCs w:val="20"/>
      <w:lang w:eastAsia="en-AU"/>
    </w:rPr>
  </w:style>
  <w:style w:type="character" w:styleId="FootnoteReference">
    <w:name w:val="footnote reference"/>
    <w:rsid w:val="00D858B9"/>
    <w:rPr>
      <w:vertAlign w:val="superscript"/>
    </w:rPr>
  </w:style>
  <w:style w:type="character" w:customStyle="1" w:styleId="ListParagraphChar">
    <w:name w:val="List Paragraph Char"/>
    <w:basedOn w:val="DefaultParagraphFont"/>
    <w:link w:val="ListParagraph"/>
    <w:uiPriority w:val="34"/>
    <w:rsid w:val="00D858B9"/>
    <w:rPr>
      <w:rFonts w:ascii="Calibri" w:eastAsiaTheme="minorEastAsia" w:hAnsi="Calibri"/>
      <w:sz w:val="22"/>
    </w:rPr>
  </w:style>
  <w:style w:type="paragraph" w:customStyle="1" w:styleId="Para">
    <w:name w:val="Para"/>
    <w:basedOn w:val="Normal"/>
    <w:link w:val="ParaCharChar"/>
    <w:rsid w:val="00D858B9"/>
    <w:pPr>
      <w:spacing w:before="60" w:after="100"/>
    </w:pPr>
    <w:rPr>
      <w:rFonts w:ascii="Times New Roman" w:eastAsia="Times New Roman" w:hAnsi="Times New Roman" w:cs="Times New Roman"/>
      <w:sz w:val="24"/>
      <w:szCs w:val="24"/>
      <w:lang w:eastAsia="en-AU"/>
    </w:rPr>
  </w:style>
  <w:style w:type="character" w:customStyle="1" w:styleId="ParaCharChar">
    <w:name w:val="Para Char Char"/>
    <w:basedOn w:val="DefaultParagraphFont"/>
    <w:link w:val="Para"/>
    <w:locked/>
    <w:rsid w:val="00D858B9"/>
    <w:rPr>
      <w:rFonts w:eastAsia="Times New Roman"/>
      <w:lang w:eastAsia="en-AU"/>
    </w:rPr>
  </w:style>
  <w:style w:type="character" w:customStyle="1" w:styleId="cf01">
    <w:name w:val="cf01"/>
    <w:basedOn w:val="DefaultParagraphFont"/>
    <w:rsid w:val="00D858B9"/>
    <w:rPr>
      <w:rFonts w:ascii="Segoe UI" w:hAnsi="Segoe UI" w:cs="Segoe UI" w:hint="default"/>
      <w:sz w:val="18"/>
      <w:szCs w:val="18"/>
    </w:rPr>
  </w:style>
  <w:style w:type="character" w:customStyle="1" w:styleId="cf41">
    <w:name w:val="cf41"/>
    <w:basedOn w:val="DefaultParagraphFont"/>
    <w:rsid w:val="00D858B9"/>
    <w:rPr>
      <w:rFonts w:ascii="Segoe UI" w:hAnsi="Segoe UI" w:cs="Segoe UI" w:hint="default"/>
      <w:i/>
      <w:iCs/>
      <w:sz w:val="18"/>
      <w:szCs w:val="18"/>
    </w:rPr>
  </w:style>
  <w:style w:type="character" w:customStyle="1" w:styleId="cf51">
    <w:name w:val="cf51"/>
    <w:basedOn w:val="DefaultParagraphFont"/>
    <w:rsid w:val="00D858B9"/>
    <w:rPr>
      <w:rFonts w:ascii="Segoe UI" w:hAnsi="Segoe UI" w:cs="Segoe UI" w:hint="default"/>
      <w:sz w:val="18"/>
      <w:szCs w:val="18"/>
    </w:rPr>
  </w:style>
  <w:style w:type="character" w:customStyle="1" w:styleId="cf71">
    <w:name w:val="cf71"/>
    <w:basedOn w:val="DefaultParagraphFont"/>
    <w:rsid w:val="00D858B9"/>
    <w:rPr>
      <w:rFonts w:ascii="Segoe UI" w:hAnsi="Segoe UI" w:cs="Segoe UI" w:hint="default"/>
      <w:i/>
      <w:iCs/>
      <w:sz w:val="18"/>
      <w:szCs w:val="18"/>
    </w:rPr>
  </w:style>
  <w:style w:type="paragraph" w:styleId="Revision">
    <w:name w:val="Revision"/>
    <w:hidden/>
    <w:uiPriority w:val="99"/>
    <w:semiHidden/>
    <w:rsid w:val="002B5403"/>
    <w:pPr>
      <w:spacing w:after="0" w:line="240" w:lineRule="auto"/>
    </w:pPr>
    <w:rPr>
      <w:rFonts w:ascii="Calibri" w:hAnsi="Calibri" w:cstheme="minorBidi"/>
      <w:sz w:val="22"/>
      <w:szCs w:val="22"/>
    </w:rPr>
  </w:style>
  <w:style w:type="paragraph" w:customStyle="1" w:styleId="RARMPnumberedparagraphs">
    <w:name w:val="RARMP numbered paragraphs"/>
    <w:basedOn w:val="ListParagraph"/>
    <w:link w:val="RARMPnumberedparagraphsChar"/>
    <w:qFormat/>
    <w:rsid w:val="005431C6"/>
    <w:pPr>
      <w:numPr>
        <w:numId w:val="3"/>
      </w:numPr>
      <w:tabs>
        <w:tab w:val="num" w:pos="567"/>
      </w:tabs>
      <w:ind w:left="0" w:firstLine="0"/>
      <w:contextualSpacing w:val="0"/>
    </w:pPr>
    <w:rPr>
      <w:rFonts w:eastAsia="Times New Roman"/>
      <w:lang w:eastAsia="en-AU"/>
    </w:rPr>
  </w:style>
  <w:style w:type="character" w:customStyle="1" w:styleId="RARMPnumberedparagraphsChar">
    <w:name w:val="RARMP numbered paragraphs Char"/>
    <w:basedOn w:val="ListParagraphChar"/>
    <w:link w:val="RARMPnumberedparagraphs"/>
    <w:rsid w:val="005431C6"/>
    <w:rPr>
      <w:rFonts w:ascii="Calibri" w:eastAsia="Times New Roman" w:hAnsi="Calibri"/>
      <w:sz w:val="22"/>
      <w:lang w:eastAsia="en-AU"/>
    </w:rPr>
  </w:style>
  <w:style w:type="paragraph" w:customStyle="1" w:styleId="Paranonumbers">
    <w:name w:val="Para no numbers"/>
    <w:basedOn w:val="Normal"/>
    <w:link w:val="ParanonumbersChar"/>
    <w:qFormat/>
    <w:rsid w:val="005431C6"/>
    <w:rPr>
      <w:rFonts w:ascii="Times New Roman" w:eastAsiaTheme="minorEastAsia" w:hAnsi="Times New Roman" w:cs="Times New Roman"/>
      <w:sz w:val="24"/>
      <w:szCs w:val="24"/>
      <w:lang w:eastAsia="en-AU"/>
    </w:rPr>
  </w:style>
  <w:style w:type="character" w:customStyle="1" w:styleId="ParanonumbersChar">
    <w:name w:val="Para no numbers Char"/>
    <w:link w:val="Paranonumbers"/>
    <w:locked/>
    <w:rsid w:val="005431C6"/>
    <w:rPr>
      <w:rFonts w:eastAsiaTheme="minorEastAsia"/>
      <w:lang w:eastAsia="en-AU"/>
    </w:rPr>
  </w:style>
  <w:style w:type="character" w:styleId="CommentReference">
    <w:name w:val="annotation reference"/>
    <w:basedOn w:val="DefaultParagraphFont"/>
    <w:uiPriority w:val="99"/>
    <w:semiHidden/>
    <w:unhideWhenUsed/>
    <w:rsid w:val="00EA377B"/>
    <w:rPr>
      <w:sz w:val="16"/>
      <w:szCs w:val="16"/>
    </w:rPr>
  </w:style>
  <w:style w:type="paragraph" w:styleId="CommentText">
    <w:name w:val="annotation text"/>
    <w:basedOn w:val="Normal"/>
    <w:link w:val="CommentTextChar"/>
    <w:uiPriority w:val="99"/>
    <w:unhideWhenUsed/>
    <w:rsid w:val="00EA377B"/>
    <w:rPr>
      <w:sz w:val="20"/>
      <w:szCs w:val="20"/>
    </w:rPr>
  </w:style>
  <w:style w:type="character" w:customStyle="1" w:styleId="CommentTextChar">
    <w:name w:val="Comment Text Char"/>
    <w:basedOn w:val="DefaultParagraphFont"/>
    <w:link w:val="CommentText"/>
    <w:uiPriority w:val="99"/>
    <w:rsid w:val="00EA377B"/>
    <w:rPr>
      <w:rFonts w:ascii="Calibri" w:hAnsi="Calibri" w:cstheme="minorBidi"/>
      <w:sz w:val="20"/>
      <w:szCs w:val="20"/>
    </w:rPr>
  </w:style>
  <w:style w:type="paragraph" w:styleId="CommentSubject">
    <w:name w:val="annotation subject"/>
    <w:basedOn w:val="CommentText"/>
    <w:next w:val="CommentText"/>
    <w:link w:val="CommentSubjectChar"/>
    <w:uiPriority w:val="99"/>
    <w:semiHidden/>
    <w:unhideWhenUsed/>
    <w:rsid w:val="00EA377B"/>
    <w:rPr>
      <w:b/>
      <w:bCs/>
    </w:rPr>
  </w:style>
  <w:style w:type="character" w:customStyle="1" w:styleId="CommentSubjectChar">
    <w:name w:val="Comment Subject Char"/>
    <w:basedOn w:val="CommentTextChar"/>
    <w:link w:val="CommentSubject"/>
    <w:uiPriority w:val="99"/>
    <w:semiHidden/>
    <w:rsid w:val="00EA377B"/>
    <w:rPr>
      <w:rFonts w:ascii="Calibri" w:hAnsi="Calibr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202 - Summary of Risk Assessment and Risk Management Plan</dc:title>
  <dc:subject/>
  <dc:creator/>
  <cp:keywords/>
  <dc:description/>
  <cp:lastModifiedBy/>
  <cp:revision>1</cp:revision>
  <dcterms:created xsi:type="dcterms:W3CDTF">2024-08-27T23:54:00Z</dcterms:created>
  <dcterms:modified xsi:type="dcterms:W3CDTF">2024-08-27T23:54:00Z</dcterms:modified>
</cp:coreProperties>
</file>