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D46F" w14:textId="77777777" w:rsidR="001205B2" w:rsidRPr="001205B2" w:rsidRDefault="001205B2" w:rsidP="001205B2">
      <w:pPr>
        <w:keepNext/>
        <w:tabs>
          <w:tab w:val="left" w:pos="2268"/>
        </w:tabs>
        <w:spacing w:before="240" w:after="60" w:line="240" w:lineRule="auto"/>
        <w:ind w:left="142"/>
        <w:jc w:val="center"/>
        <w:outlineLvl w:val="0"/>
        <w:rPr>
          <w:rFonts w:ascii="Calibri" w:eastAsia="Times New Roman" w:hAnsi="Calibri" w:cs="Arial"/>
          <w:b/>
          <w:snapToGrid w:val="0"/>
          <w:kern w:val="0"/>
          <w:sz w:val="36"/>
          <w:szCs w:val="36"/>
          <w14:ligatures w14:val="none"/>
        </w:rPr>
      </w:pPr>
      <w:bookmarkStart w:id="0" w:name="_Toc47536733"/>
      <w:bookmarkStart w:id="1" w:name="_Toc105688447"/>
      <w:bookmarkStart w:id="2" w:name="_Toc187140646"/>
      <w:bookmarkStart w:id="3" w:name="_Toc174765844"/>
      <w:bookmarkStart w:id="4" w:name="_Toc167164262"/>
      <w:bookmarkStart w:id="5" w:name="_Toc198434571"/>
      <w:bookmarkStart w:id="6" w:name="_Toc259790166"/>
      <w:bookmarkStart w:id="7" w:name="_Toc236620543"/>
      <w:bookmarkStart w:id="8" w:name="_Toc209859545"/>
      <w:bookmarkStart w:id="9" w:name="_Toc342042133"/>
      <w:bookmarkStart w:id="10" w:name="_Toc347392001"/>
      <w:r w:rsidRPr="001205B2">
        <w:rPr>
          <w:rFonts w:ascii="Calibri" w:eastAsia="Times New Roman" w:hAnsi="Calibri" w:cs="Arial"/>
          <w:b/>
          <w:snapToGrid w:val="0"/>
          <w:kern w:val="0"/>
          <w:sz w:val="36"/>
          <w:szCs w:val="36"/>
          <w14:ligatures w14:val="none"/>
        </w:rPr>
        <w:t xml:space="preserve">Summary of the Risk Assessment and </w:t>
      </w:r>
      <w:r w:rsidRPr="001205B2">
        <w:rPr>
          <w:rFonts w:ascii="Calibri" w:eastAsia="Times New Roman" w:hAnsi="Calibri" w:cs="Arial"/>
          <w:b/>
          <w:snapToGrid w:val="0"/>
          <w:kern w:val="0"/>
          <w:sz w:val="36"/>
          <w:szCs w:val="36"/>
          <w14:ligatures w14:val="none"/>
        </w:rPr>
        <w:br/>
        <w:t>Risk Management Plan</w:t>
      </w:r>
      <w:bookmarkEnd w:id="0"/>
      <w:bookmarkEnd w:id="1"/>
      <w:bookmarkEnd w:id="2"/>
    </w:p>
    <w:p w14:paraId="28078662" w14:textId="77777777" w:rsidR="001205B2" w:rsidRPr="001205B2" w:rsidRDefault="001205B2" w:rsidP="001205B2">
      <w:pPr>
        <w:keepNext/>
        <w:spacing w:before="120" w:after="120" w:line="240" w:lineRule="auto"/>
        <w:jc w:val="center"/>
        <w:rPr>
          <w:rFonts w:ascii="Calibri" w:eastAsia="Times New Roman" w:hAnsi="Calibri" w:cs="Arial"/>
          <w:b/>
          <w:bCs/>
          <w:kern w:val="32"/>
          <w:sz w:val="28"/>
          <w:szCs w:val="28"/>
          <w14:ligatures w14:val="none"/>
        </w:rPr>
      </w:pPr>
      <w:r w:rsidRPr="001205B2">
        <w:rPr>
          <w:rFonts w:ascii="Calibri" w:eastAsia="Times New Roman" w:hAnsi="Calibri" w:cs="Arial"/>
          <w:b/>
          <w:bCs/>
          <w:kern w:val="32"/>
          <w:sz w:val="28"/>
          <w:szCs w:val="28"/>
          <w14:ligatures w14:val="none"/>
        </w:rPr>
        <w:t>for</w:t>
      </w:r>
    </w:p>
    <w:p w14:paraId="43BB3232" w14:textId="77777777" w:rsidR="001205B2" w:rsidRPr="001205B2" w:rsidRDefault="001205B2" w:rsidP="001205B2">
      <w:pPr>
        <w:keepNext/>
        <w:spacing w:before="120" w:after="120" w:line="240" w:lineRule="auto"/>
        <w:jc w:val="center"/>
        <w:rPr>
          <w:rFonts w:ascii="Calibri" w:eastAsia="Times New Roman" w:hAnsi="Calibri" w:cs="Arial"/>
          <w:b/>
          <w:bCs/>
          <w:kern w:val="32"/>
          <w:sz w:val="36"/>
          <w:szCs w:val="36"/>
          <w14:ligatures w14:val="none"/>
        </w:rPr>
      </w:pPr>
      <w:r w:rsidRPr="001205B2">
        <w:rPr>
          <w:rFonts w:ascii="Calibri" w:eastAsia="Times New Roman" w:hAnsi="Calibri" w:cs="Arial"/>
          <w:b/>
          <w:bCs/>
          <w:kern w:val="32"/>
          <w:sz w:val="36"/>
          <w:szCs w:val="36"/>
          <w14:ligatures w14:val="none"/>
        </w:rPr>
        <w:t>Licence Application DIR-206</w:t>
      </w:r>
    </w:p>
    <w:p w14:paraId="7F8184C6" w14:textId="77777777" w:rsidR="001205B2" w:rsidRPr="001205B2" w:rsidRDefault="001205B2" w:rsidP="001205B2">
      <w:pPr>
        <w:keepNext/>
        <w:tabs>
          <w:tab w:val="left" w:pos="1418"/>
        </w:tabs>
        <w:spacing w:before="240" w:after="60" w:line="240" w:lineRule="auto"/>
        <w:jc w:val="both"/>
        <w:outlineLvl w:val="1"/>
        <w:rPr>
          <w:rFonts w:ascii="Calibri" w:eastAsia="Times New Roman" w:hAnsi="Calibri"/>
          <w:b/>
          <w:i/>
          <w:kern w:val="0"/>
          <w:sz w:val="28"/>
          <w:szCs w:val="28"/>
          <w14:ligatures w14:val="none"/>
        </w:rPr>
      </w:pPr>
      <w:r w:rsidRPr="001205B2">
        <w:rPr>
          <w:rFonts w:ascii="Calibri" w:eastAsia="Times New Roman" w:hAnsi="Calibri"/>
          <w:b/>
          <w:i/>
          <w:kern w:val="0"/>
          <w:sz w:val="28"/>
          <w:szCs w:val="28"/>
          <w14:ligatures w14:val="none"/>
        </w:rPr>
        <w:t>Decision</w:t>
      </w:r>
    </w:p>
    <w:p w14:paraId="26CF8D40"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bookmarkStart w:id="11" w:name="_Toc342042135"/>
      <w:bookmarkStart w:id="12" w:name="_Toc47536735"/>
      <w:bookmarkStart w:id="13" w:name="_Toc291151777"/>
      <w:bookmarkStart w:id="14" w:name="_Toc274904727"/>
      <w:bookmarkStart w:id="15" w:name="_Toc209859548"/>
      <w:bookmarkEnd w:id="3"/>
      <w:bookmarkEnd w:id="4"/>
      <w:bookmarkEnd w:id="5"/>
      <w:bookmarkEnd w:id="6"/>
      <w:bookmarkEnd w:id="7"/>
      <w:bookmarkEnd w:id="8"/>
      <w:bookmarkEnd w:id="9"/>
      <w:bookmarkEnd w:id="10"/>
      <w:r w:rsidRPr="001205B2">
        <w:rPr>
          <w:rFonts w:ascii="Calibri" w:eastAsia="Times New Roman" w:hAnsi="Calibri"/>
          <w:kern w:val="0"/>
          <w:sz w:val="22"/>
          <w:lang w:eastAsia="en-AU"/>
          <w14:ligatures w14:val="none"/>
        </w:rPr>
        <w:t xml:space="preserve">The Gene Technology Regulator (the Regulator) has decided to issue a licence application for a clinical trial using a genetically modified organism (GMO). It qualifies as Dealings involving the Intentional Release (DIR) of genetically modified organisms into the Australian environment under the </w:t>
      </w:r>
      <w:r w:rsidRPr="001205B2">
        <w:rPr>
          <w:rFonts w:ascii="Calibri" w:eastAsia="Times New Roman" w:hAnsi="Calibri"/>
          <w:i/>
          <w:iCs/>
          <w:kern w:val="0"/>
          <w:sz w:val="22"/>
          <w:lang w:eastAsia="en-AU"/>
          <w14:ligatures w14:val="none"/>
        </w:rPr>
        <w:t>Gene Technology Act 2000</w:t>
      </w:r>
      <w:r w:rsidRPr="001205B2">
        <w:rPr>
          <w:rFonts w:ascii="Calibri" w:eastAsia="Times New Roman" w:hAnsi="Calibri"/>
          <w:kern w:val="0"/>
          <w:sz w:val="22"/>
          <w:lang w:eastAsia="en-AU"/>
          <w14:ligatures w14:val="none"/>
        </w:rPr>
        <w:t xml:space="preserve"> (the Act).</w:t>
      </w:r>
    </w:p>
    <w:p w14:paraId="036AAAB1" w14:textId="77777777" w:rsidR="001205B2" w:rsidRPr="001205B2" w:rsidRDefault="001205B2" w:rsidP="001205B2">
      <w:pPr>
        <w:spacing w:before="120" w:after="120" w:line="240" w:lineRule="auto"/>
        <w:rPr>
          <w:rFonts w:ascii="Calibri" w:eastAsia="Times New Roman" w:hAnsi="Calibri" w:cs="Calibri"/>
          <w:kern w:val="0"/>
          <w:sz w:val="22"/>
          <w:szCs w:val="22"/>
          <w:lang w:eastAsia="en-AU"/>
          <w14:ligatures w14:val="none"/>
        </w:rPr>
      </w:pPr>
      <w:r w:rsidRPr="001205B2">
        <w:rPr>
          <w:rFonts w:ascii="Calibri" w:eastAsia="Times New Roman" w:hAnsi="Calibri"/>
          <w:kern w:val="0"/>
          <w:sz w:val="22"/>
          <w:lang w:eastAsia="en-AU"/>
          <w14:ligatures w14:val="none"/>
        </w:rPr>
        <w:t xml:space="preserve">The applicant, </w:t>
      </w:r>
      <w:r w:rsidRPr="001205B2">
        <w:rPr>
          <w:rFonts w:ascii="Calibri" w:eastAsia="Times New Roman" w:hAnsi="Calibri" w:cs="Calibri"/>
          <w:kern w:val="0"/>
          <w:sz w:val="22"/>
          <w:szCs w:val="22"/>
          <w:lang w:eastAsia="en-AU"/>
          <w14:ligatures w14:val="none"/>
        </w:rPr>
        <w:t xml:space="preserve">Western Sydney Local Health District </w:t>
      </w:r>
      <w:r w:rsidRPr="001205B2">
        <w:rPr>
          <w:rFonts w:ascii="Calibri" w:eastAsia="Times New Roman" w:hAnsi="Calibri"/>
          <w:kern w:val="0"/>
          <w:sz w:val="22"/>
          <w:lang w:eastAsia="en-AU"/>
          <w14:ligatures w14:val="none"/>
        </w:rPr>
        <w:t xml:space="preserve">(WSLHD), proposes to conduct a clinical trial to evaluate the safety and efficacy of genetically modified (GM) bacteriophages, </w:t>
      </w:r>
      <w:r w:rsidRPr="001205B2">
        <w:rPr>
          <w:rFonts w:ascii="Calibri" w:eastAsia="Times New Roman" w:hAnsi="Calibri" w:cs="Calibri"/>
          <w:kern w:val="0"/>
          <w:sz w:val="22"/>
          <w:szCs w:val="22"/>
          <w:lang w:eastAsia="en-AU"/>
          <w14:ligatures w14:val="none"/>
        </w:rPr>
        <w:t>alone or in combination with</w:t>
      </w:r>
      <w:r w:rsidRPr="001205B2">
        <w:rPr>
          <w:rFonts w:ascii="Calibri" w:eastAsia="Times New Roman" w:hAnsi="Calibri" w:cs="Calibri"/>
          <w:kern w:val="0"/>
          <w:sz w:val="22"/>
          <w:lang w:eastAsia="en-AU"/>
          <w14:ligatures w14:val="none"/>
        </w:rPr>
        <w:t xml:space="preserve"> non-GM bacteriophage therapy,</w:t>
      </w:r>
      <w:r w:rsidRPr="001205B2">
        <w:rPr>
          <w:rFonts w:ascii="Calibri" w:eastAsia="Times New Roman" w:hAnsi="Calibri" w:cs="Calibri"/>
          <w:kern w:val="0"/>
          <w:sz w:val="22"/>
          <w:szCs w:val="22"/>
          <w:lang w:eastAsia="en-AU"/>
          <w14:ligatures w14:val="none"/>
        </w:rPr>
        <w:t xml:space="preserve"> for the treatment of Australian patients with mycobacterial infections.</w:t>
      </w:r>
    </w:p>
    <w:p w14:paraId="2E2304FE" w14:textId="77777777" w:rsidR="001205B2" w:rsidRPr="001205B2" w:rsidRDefault="001205B2" w:rsidP="001205B2">
      <w:pPr>
        <w:spacing w:before="120" w:after="120" w:line="240" w:lineRule="auto"/>
        <w:rPr>
          <w:rFonts w:ascii="Calibri" w:eastAsia="Times New Roman" w:hAnsi="Calibri"/>
          <w:kern w:val="0"/>
          <w:sz w:val="22"/>
          <w:szCs w:val="22"/>
          <w:highlight w:val="yellow"/>
          <w:lang w:eastAsia="en-AU"/>
          <w14:ligatures w14:val="none"/>
        </w:rPr>
      </w:pPr>
      <w:r w:rsidRPr="001205B2">
        <w:rPr>
          <w:rFonts w:ascii="Calibri" w:eastAsia="Times New Roman" w:hAnsi="Calibri"/>
          <w:kern w:val="0"/>
          <w:sz w:val="22"/>
          <w:lang w:eastAsia="en-AU"/>
          <w14:ligatures w14:val="none"/>
        </w:rPr>
        <w:t xml:space="preserve">The GMOs were modified from bacteriophages which have been shown to kill mycobacteria. The GMOs </w:t>
      </w:r>
      <w:r w:rsidRPr="001205B2">
        <w:rPr>
          <w:rFonts w:ascii="Calibri" w:eastAsia="Times New Roman" w:hAnsi="Calibri"/>
          <w:kern w:val="0"/>
          <w:sz w:val="22"/>
          <w:szCs w:val="22"/>
          <w:lang w:eastAsia="en-AU"/>
          <w14:ligatures w14:val="none"/>
        </w:rPr>
        <w:t xml:space="preserve">would be manufactured overseas and imported into Australia. They would be administered by various methods including </w:t>
      </w:r>
      <w:r w:rsidRPr="001205B2">
        <w:rPr>
          <w:rFonts w:ascii="Calibri" w:eastAsia="Times New Roman" w:hAnsi="Calibri" w:cs="Calibri"/>
          <w:kern w:val="0"/>
          <w:sz w:val="22"/>
          <w:szCs w:val="22"/>
          <w:lang w:eastAsia="en-AU"/>
          <w14:ligatures w14:val="none"/>
        </w:rPr>
        <w:t xml:space="preserve">via nebuliser, by intravenous injection, instillation, or topical application </w:t>
      </w:r>
      <w:r w:rsidRPr="001205B2">
        <w:rPr>
          <w:rFonts w:ascii="Calibri" w:eastAsia="Times New Roman" w:hAnsi="Calibri"/>
          <w:kern w:val="0"/>
          <w:sz w:val="22"/>
          <w:szCs w:val="22"/>
          <w:lang w:eastAsia="en-AU"/>
          <w14:ligatures w14:val="none"/>
        </w:rPr>
        <w:t xml:space="preserve">in Australia at clinical trial sites, hospitals and other sites under the hospital in the home (HITH) program. </w:t>
      </w:r>
    </w:p>
    <w:p w14:paraId="10836310"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 xml:space="preserve">Clinical trials in Australia are conducted in accordance with requirements of the </w:t>
      </w:r>
      <w:r w:rsidRPr="001205B2">
        <w:rPr>
          <w:rFonts w:ascii="Calibri" w:eastAsia="Times New Roman" w:hAnsi="Calibri"/>
          <w:i/>
          <w:kern w:val="0"/>
          <w:sz w:val="22"/>
          <w:lang w:eastAsia="en-AU"/>
          <w14:ligatures w14:val="none"/>
        </w:rPr>
        <w:t>Therapeutic Goods Act 1989</w:t>
      </w:r>
      <w:r w:rsidRPr="001205B2">
        <w:rPr>
          <w:rFonts w:ascii="Calibri" w:eastAsia="Times New Roman" w:hAnsi="Calibri"/>
          <w:kern w:val="0"/>
          <w:sz w:val="22"/>
          <w:lang w:eastAsia="en-AU"/>
          <w14:ligatures w14:val="none"/>
        </w:rPr>
        <w:t xml:space="preserve">, which is administered by the Therapeutic Goods Administration (TGA). Therefore, in addition to approval by the Regulator, WSLHD </w:t>
      </w:r>
      <w:r w:rsidRPr="001205B2">
        <w:rPr>
          <w:rFonts w:ascii="Calibri" w:eastAsia="Times New Roman" w:hAnsi="Calibri"/>
          <w:color w:val="000000"/>
          <w:kern w:val="0"/>
          <w:sz w:val="22"/>
          <w:lang w:eastAsia="en-AU"/>
          <w14:ligatures w14:val="none"/>
        </w:rPr>
        <w:t xml:space="preserve">would also require authorisation from TGA before the trial commences. Clinical trials conducted in Australia must also be conducted in accordance with the </w:t>
      </w:r>
      <w:hyperlink r:id="rId7" w:history="1">
        <w:r w:rsidRPr="001205B2">
          <w:rPr>
            <w:rFonts w:ascii="Calibri" w:eastAsia="Times New Roman" w:hAnsi="Calibri"/>
            <w:color w:val="000000"/>
            <w:kern w:val="0"/>
            <w:sz w:val="22"/>
            <w:u w:val="single"/>
            <w:lang w:eastAsia="en-AU"/>
            <w14:ligatures w14:val="none"/>
          </w:rPr>
          <w:t>National Statement on Ethical Conduct in Human Research</w:t>
        </w:r>
      </w:hyperlink>
      <w:r w:rsidRPr="001205B2">
        <w:rPr>
          <w:rFonts w:ascii="Calibri" w:eastAsia="Times New Roman" w:hAnsi="Calibri"/>
          <w:i/>
          <w:color w:val="000000"/>
          <w:kern w:val="0"/>
          <w:sz w:val="22"/>
          <w:lang w:eastAsia="en-AU"/>
          <w14:ligatures w14:val="none"/>
        </w:rPr>
        <w:t xml:space="preserve"> </w:t>
      </w:r>
      <w:r w:rsidRPr="001205B2">
        <w:rPr>
          <w:rFonts w:ascii="Calibri" w:eastAsia="Times New Roman" w:hAnsi="Calibri"/>
          <w:color w:val="000000"/>
          <w:kern w:val="0"/>
          <w:sz w:val="22"/>
          <w:lang w:eastAsia="en-AU"/>
          <w14:ligatures w14:val="none"/>
        </w:rPr>
        <w:t xml:space="preserve">and with the </w:t>
      </w:r>
      <w:hyperlink r:id="rId8" w:history="1">
        <w:r w:rsidRPr="001205B2">
          <w:rPr>
            <w:rFonts w:ascii="Calibri" w:eastAsia="Times New Roman" w:hAnsi="Calibri"/>
            <w:color w:val="000000"/>
            <w:kern w:val="0"/>
            <w:sz w:val="22"/>
            <w:u w:val="single"/>
            <w:lang w:eastAsia="en-AU"/>
            <w14:ligatures w14:val="none"/>
          </w:rPr>
          <w:t>Guidelines for Good Clinical Practice</w:t>
        </w:r>
      </w:hyperlink>
      <w:r w:rsidRPr="001205B2">
        <w:rPr>
          <w:rFonts w:ascii="Calibri" w:eastAsia="Times New Roman" w:hAnsi="Calibri"/>
          <w:color w:val="000000"/>
          <w:kern w:val="0"/>
          <w:sz w:val="22"/>
          <w:lang w:eastAsia="en-AU"/>
          <w14:ligatures w14:val="none"/>
        </w:rPr>
        <w:t xml:space="preserve"> of the International Council for Harmoni</w:t>
      </w:r>
      <w:r w:rsidRPr="001205B2">
        <w:rPr>
          <w:rFonts w:ascii="Calibri" w:eastAsia="Times New Roman" w:hAnsi="Calibri"/>
          <w:kern w:val="0"/>
          <w:sz w:val="22"/>
          <w:lang w:eastAsia="en-AU"/>
          <w14:ligatures w14:val="none"/>
        </w:rPr>
        <w:t>sation of Technical Requirements for Registration of Pharmaceuticals for Human Use. WSLHD would also require approval from the Department of Agriculture, Fisheries and Forestry for import of the GMOs.</w:t>
      </w:r>
    </w:p>
    <w:p w14:paraId="1B7C07AD"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 xml:space="preserve">The Regulator has prepared a Risk Assessment and Risk Management Plan (RARMP) for this application, which was finalised following consultation with a wide range of experts, agencies and authorities, and the public. The RARMP concluded that the proposed clinical trial poses negligible risks to human health and safety and the environment and that any risks posed by the dealings can be managed by imposing conditions on the release. </w:t>
      </w:r>
    </w:p>
    <w:p w14:paraId="003F276E" w14:textId="77777777" w:rsidR="001205B2" w:rsidRPr="001205B2" w:rsidRDefault="001205B2" w:rsidP="001205B2">
      <w:pPr>
        <w:spacing w:after="0" w:line="240" w:lineRule="auto"/>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br w:type="page"/>
      </w:r>
    </w:p>
    <w:p w14:paraId="11D8678D" w14:textId="77777777" w:rsidR="001205B2" w:rsidRPr="001205B2" w:rsidRDefault="001205B2" w:rsidP="001205B2">
      <w:pPr>
        <w:keepNext/>
        <w:tabs>
          <w:tab w:val="left" w:pos="1418"/>
        </w:tabs>
        <w:spacing w:before="240" w:after="60" w:line="240" w:lineRule="auto"/>
        <w:jc w:val="both"/>
        <w:outlineLvl w:val="1"/>
        <w:rPr>
          <w:rFonts w:ascii="Calibri" w:eastAsia="Times New Roman" w:hAnsi="Calibri"/>
          <w:b/>
          <w:i/>
          <w:kern w:val="0"/>
          <w:sz w:val="28"/>
          <w:szCs w:val="28"/>
          <w:lang w:eastAsia="en-AU"/>
          <w14:ligatures w14:val="none"/>
        </w:rPr>
      </w:pPr>
      <w:bookmarkStart w:id="16" w:name="_Toc105688449"/>
      <w:bookmarkStart w:id="17" w:name="_Toc187140648"/>
      <w:r w:rsidRPr="001205B2">
        <w:rPr>
          <w:rFonts w:ascii="Calibri" w:eastAsia="Times New Roman" w:hAnsi="Calibri"/>
          <w:b/>
          <w:i/>
          <w:kern w:val="0"/>
          <w:sz w:val="28"/>
          <w:szCs w:val="28"/>
          <w:lang w:eastAsia="en-AU"/>
          <w14:ligatures w14:val="none"/>
        </w:rPr>
        <w:lastRenderedPageBreak/>
        <w:t>The application</w:t>
      </w:r>
      <w:bookmarkEnd w:id="11"/>
      <w:bookmarkEnd w:id="12"/>
      <w:bookmarkEnd w:id="16"/>
      <w:bookmarkEnd w:id="17"/>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214"/>
      </w:tblGrid>
      <w:tr w:rsidR="001205B2" w:rsidRPr="001205B2" w14:paraId="43B0827E" w14:textId="77777777" w:rsidTr="0048528E">
        <w:trPr>
          <w:jc w:val="center"/>
        </w:trPr>
        <w:tc>
          <w:tcPr>
            <w:tcW w:w="2681" w:type="dxa"/>
            <w:vAlign w:val="center"/>
          </w:tcPr>
          <w:p w14:paraId="360955BB"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bookmarkStart w:id="18" w:name="_Toc342042136"/>
            <w:bookmarkStart w:id="19" w:name="_Toc47536736"/>
            <w:r w:rsidRPr="001205B2">
              <w:rPr>
                <w:rFonts w:ascii="Calibri" w:eastAsia="Times New Roman" w:hAnsi="Calibri"/>
                <w:b/>
                <w:bCs/>
                <w:kern w:val="0"/>
                <w:sz w:val="22"/>
                <w:lang w:eastAsia="en-AU"/>
                <w14:ligatures w14:val="none"/>
              </w:rPr>
              <w:t>Project Title</w:t>
            </w:r>
          </w:p>
        </w:tc>
        <w:tc>
          <w:tcPr>
            <w:tcW w:w="7214" w:type="dxa"/>
          </w:tcPr>
          <w:p w14:paraId="1F2AB00C"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bookmarkStart w:id="20" w:name="_Hlk169077007"/>
            <w:bookmarkStart w:id="21" w:name="_Hlk169076518"/>
            <w:r w:rsidRPr="001205B2">
              <w:rPr>
                <w:rFonts w:ascii="Calibri" w:eastAsia="Times New Roman" w:hAnsi="Calibri"/>
                <w:kern w:val="0"/>
                <w:sz w:val="22"/>
                <w:lang w:eastAsia="en-AU"/>
                <w14:ligatures w14:val="none"/>
              </w:rPr>
              <w:t>Clinical trial of the treatment of mycobacterial infections using bacteriophages</w:t>
            </w:r>
            <w:bookmarkEnd w:id="20"/>
            <w:r w:rsidRPr="001205B2">
              <w:rPr>
                <w:rFonts w:ascii="Calibri" w:eastAsia="Times New Roman" w:hAnsi="Calibri"/>
                <w:kern w:val="0"/>
                <w:sz w:val="22"/>
                <w:vertAlign w:val="superscript"/>
                <w:lang w:eastAsia="en-AU"/>
                <w14:ligatures w14:val="none"/>
              </w:rPr>
              <w:footnoteReference w:id="1"/>
            </w:r>
            <w:bookmarkEnd w:id="21"/>
          </w:p>
        </w:tc>
      </w:tr>
      <w:tr w:rsidR="001205B2" w:rsidRPr="001205B2" w14:paraId="6A9A9D44" w14:textId="77777777" w:rsidTr="0048528E">
        <w:trPr>
          <w:jc w:val="center"/>
        </w:trPr>
        <w:tc>
          <w:tcPr>
            <w:tcW w:w="2681" w:type="dxa"/>
            <w:vAlign w:val="center"/>
          </w:tcPr>
          <w:p w14:paraId="658AF636"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Parent organism</w:t>
            </w:r>
          </w:p>
        </w:tc>
        <w:tc>
          <w:tcPr>
            <w:tcW w:w="7214" w:type="dxa"/>
          </w:tcPr>
          <w:p w14:paraId="1F1458AD"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Bacteriophages (mycobacteriophages)</w:t>
            </w:r>
          </w:p>
        </w:tc>
      </w:tr>
      <w:tr w:rsidR="001205B2" w:rsidRPr="001205B2" w14:paraId="7C48BA9A" w14:textId="77777777" w:rsidTr="0048528E">
        <w:trPr>
          <w:jc w:val="center"/>
        </w:trPr>
        <w:tc>
          <w:tcPr>
            <w:tcW w:w="2681" w:type="dxa"/>
            <w:vAlign w:val="center"/>
          </w:tcPr>
          <w:p w14:paraId="4890314A"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Genetic modifications</w:t>
            </w:r>
          </w:p>
        </w:tc>
        <w:tc>
          <w:tcPr>
            <w:tcW w:w="7214" w:type="dxa"/>
            <w:vAlign w:val="center"/>
          </w:tcPr>
          <w:p w14:paraId="5EBFB9D3" w14:textId="77777777" w:rsidR="001205B2" w:rsidRPr="001205B2" w:rsidRDefault="001205B2" w:rsidP="001205B2">
            <w:pPr>
              <w:tabs>
                <w:tab w:val="left" w:pos="5670"/>
                <w:tab w:val="left" w:pos="6946"/>
                <w:tab w:val="left" w:pos="7655"/>
              </w:tabs>
              <w:spacing w:before="60" w:after="60" w:line="240" w:lineRule="auto"/>
              <w:contextualSpacing/>
              <w:rPr>
                <w:rFonts w:ascii="Calibri" w:eastAsia="Times New Roman" w:hAnsi="Calibri" w:cs="Calibri"/>
                <w:i/>
                <w:kern w:val="0"/>
                <w:sz w:val="22"/>
                <w:lang w:eastAsia="en-AU"/>
                <w14:ligatures w14:val="none"/>
              </w:rPr>
            </w:pPr>
            <w:r w:rsidRPr="001205B2">
              <w:rPr>
                <w:rFonts w:ascii="Calibri" w:eastAsia="Times New Roman" w:hAnsi="Calibri"/>
                <w:color w:val="000000"/>
                <w:kern w:val="0"/>
                <w:sz w:val="22"/>
                <w:lang w:eastAsia="en-AU"/>
                <w14:ligatures w14:val="none"/>
              </w:rPr>
              <w:t xml:space="preserve">Deletion of genes including the repressor gene, rendering the bacteriophages lytic </w:t>
            </w:r>
            <w:proofErr w:type="gramStart"/>
            <w:r w:rsidRPr="001205B2">
              <w:rPr>
                <w:rFonts w:ascii="Calibri" w:eastAsia="Times New Roman" w:hAnsi="Calibri"/>
                <w:color w:val="000000"/>
                <w:kern w:val="0"/>
                <w:sz w:val="22"/>
                <w:lang w:eastAsia="en-AU"/>
                <w14:ligatures w14:val="none"/>
              </w:rPr>
              <w:t>in order to</w:t>
            </w:r>
            <w:proofErr w:type="gramEnd"/>
            <w:r w:rsidRPr="001205B2">
              <w:rPr>
                <w:rFonts w:ascii="Calibri" w:eastAsia="Times New Roman" w:hAnsi="Calibri"/>
                <w:color w:val="000000"/>
                <w:kern w:val="0"/>
                <w:sz w:val="22"/>
                <w:lang w:eastAsia="en-AU"/>
                <w14:ligatures w14:val="none"/>
              </w:rPr>
              <w:t xml:space="preserve"> destroy host bacteria.</w:t>
            </w:r>
          </w:p>
        </w:tc>
      </w:tr>
      <w:tr w:rsidR="001205B2" w:rsidRPr="001205B2" w14:paraId="332AC26B" w14:textId="77777777" w:rsidTr="0048528E">
        <w:trPr>
          <w:jc w:val="center"/>
        </w:trPr>
        <w:tc>
          <w:tcPr>
            <w:tcW w:w="2681" w:type="dxa"/>
            <w:vAlign w:val="center"/>
          </w:tcPr>
          <w:p w14:paraId="0D2B95D1"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Principal purpose</w:t>
            </w:r>
          </w:p>
        </w:tc>
        <w:tc>
          <w:tcPr>
            <w:tcW w:w="7214" w:type="dxa"/>
            <w:vAlign w:val="center"/>
          </w:tcPr>
          <w:p w14:paraId="5C1F2DBE"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bookmarkStart w:id="22" w:name="_Hlk167181235"/>
            <w:r w:rsidRPr="001205B2">
              <w:rPr>
                <w:rFonts w:ascii="Calibri" w:eastAsia="Times New Roman" w:hAnsi="Calibri" w:cs="Calibri"/>
                <w:color w:val="000000"/>
                <w:kern w:val="0"/>
                <w:sz w:val="22"/>
                <w:lang w:eastAsia="en-AU"/>
                <w14:ligatures w14:val="none"/>
              </w:rPr>
              <w:t>The proposed dealings are to administer genetically modified bacteriophages to treat Australian patients with mycobacterial infections.</w:t>
            </w:r>
            <w:bookmarkEnd w:id="22"/>
          </w:p>
        </w:tc>
      </w:tr>
      <w:tr w:rsidR="001205B2" w:rsidRPr="001205B2" w14:paraId="7E8DC330" w14:textId="77777777" w:rsidTr="0048528E">
        <w:trPr>
          <w:jc w:val="center"/>
        </w:trPr>
        <w:tc>
          <w:tcPr>
            <w:tcW w:w="2681" w:type="dxa"/>
            <w:vAlign w:val="center"/>
          </w:tcPr>
          <w:p w14:paraId="0A714809"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Previous clinical trials</w:t>
            </w:r>
          </w:p>
        </w:tc>
        <w:tc>
          <w:tcPr>
            <w:tcW w:w="7214" w:type="dxa"/>
            <w:vAlign w:val="center"/>
          </w:tcPr>
          <w:p w14:paraId="36E5277C"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 xml:space="preserve">DNIR-620 issued to the Sydney Children’s Hospital Network authorised the therapeutic treatment of paediatric patients with cystic fibrosis and </w:t>
            </w:r>
            <w:r w:rsidRPr="001205B2">
              <w:rPr>
                <w:rFonts w:ascii="Calibri" w:eastAsia="Times New Roman" w:hAnsi="Calibri"/>
                <w:i/>
                <w:iCs/>
                <w:kern w:val="0"/>
                <w:sz w:val="22"/>
                <w:lang w:eastAsia="en-AU"/>
                <w14:ligatures w14:val="none"/>
              </w:rPr>
              <w:t xml:space="preserve">Mycobacterium </w:t>
            </w:r>
            <w:proofErr w:type="spellStart"/>
            <w:r w:rsidRPr="001205B2">
              <w:rPr>
                <w:rFonts w:ascii="Calibri" w:eastAsia="Times New Roman" w:hAnsi="Calibri"/>
                <w:i/>
                <w:iCs/>
                <w:kern w:val="0"/>
                <w:sz w:val="22"/>
                <w:lang w:eastAsia="en-AU"/>
                <w14:ligatures w14:val="none"/>
              </w:rPr>
              <w:t>abscessus</w:t>
            </w:r>
            <w:proofErr w:type="spellEnd"/>
            <w:r w:rsidRPr="001205B2">
              <w:rPr>
                <w:rFonts w:ascii="Calibri" w:eastAsia="Times New Roman" w:hAnsi="Calibri"/>
                <w:kern w:val="0"/>
                <w:sz w:val="22"/>
                <w:lang w:eastAsia="en-AU"/>
                <w14:ligatures w14:val="none"/>
              </w:rPr>
              <w:t xml:space="preserve"> disease.</w:t>
            </w:r>
          </w:p>
          <w:p w14:paraId="10288BF4"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 xml:space="preserve">DNIR-655 issued to the Alfred Hospital authorised bacteriophage therapy for severe lung disease due to </w:t>
            </w:r>
            <w:r w:rsidRPr="001205B2">
              <w:rPr>
                <w:rFonts w:ascii="Calibri" w:eastAsia="Times New Roman" w:hAnsi="Calibri"/>
                <w:i/>
                <w:iCs/>
                <w:kern w:val="0"/>
                <w:sz w:val="22"/>
                <w:lang w:eastAsia="en-AU"/>
                <w14:ligatures w14:val="none"/>
              </w:rPr>
              <w:t xml:space="preserve">Mycobacterium </w:t>
            </w:r>
            <w:proofErr w:type="spellStart"/>
            <w:r w:rsidRPr="001205B2">
              <w:rPr>
                <w:rFonts w:ascii="Calibri" w:eastAsia="Times New Roman" w:hAnsi="Calibri"/>
                <w:i/>
                <w:iCs/>
                <w:kern w:val="0"/>
                <w:sz w:val="22"/>
                <w:lang w:eastAsia="en-AU"/>
                <w14:ligatures w14:val="none"/>
              </w:rPr>
              <w:t>abscessus</w:t>
            </w:r>
            <w:proofErr w:type="spellEnd"/>
            <w:r w:rsidRPr="001205B2">
              <w:rPr>
                <w:rFonts w:ascii="Calibri" w:eastAsia="Times New Roman" w:hAnsi="Calibri"/>
                <w:kern w:val="0"/>
                <w:sz w:val="22"/>
                <w:lang w:eastAsia="en-AU"/>
                <w14:ligatures w14:val="none"/>
              </w:rPr>
              <w:t xml:space="preserve"> infection.</w:t>
            </w:r>
          </w:p>
        </w:tc>
      </w:tr>
      <w:tr w:rsidR="001205B2" w:rsidRPr="001205B2" w14:paraId="73D84F64" w14:textId="77777777" w:rsidTr="0048528E">
        <w:trPr>
          <w:jc w:val="center"/>
        </w:trPr>
        <w:tc>
          <w:tcPr>
            <w:tcW w:w="9895" w:type="dxa"/>
            <w:gridSpan w:val="2"/>
          </w:tcPr>
          <w:p w14:paraId="1F860771" w14:textId="77777777" w:rsidR="001205B2" w:rsidRPr="001205B2" w:rsidRDefault="001205B2" w:rsidP="001205B2">
            <w:pPr>
              <w:spacing w:before="120" w:after="120" w:line="240" w:lineRule="auto"/>
              <w:jc w:val="center"/>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Proposed limits and controls</w:t>
            </w:r>
          </w:p>
        </w:tc>
      </w:tr>
      <w:tr w:rsidR="001205B2" w:rsidRPr="001205B2" w14:paraId="29FFF2A1" w14:textId="77777777" w:rsidTr="0048528E">
        <w:trPr>
          <w:jc w:val="center"/>
        </w:trPr>
        <w:tc>
          <w:tcPr>
            <w:tcW w:w="2681" w:type="dxa"/>
            <w:vAlign w:val="center"/>
          </w:tcPr>
          <w:p w14:paraId="4C6AAB42"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Proposed duration</w:t>
            </w:r>
          </w:p>
        </w:tc>
        <w:tc>
          <w:tcPr>
            <w:tcW w:w="7214" w:type="dxa"/>
            <w:vAlign w:val="center"/>
          </w:tcPr>
          <w:p w14:paraId="3338ED9A" w14:textId="77777777" w:rsidR="001205B2" w:rsidRPr="001205B2" w:rsidRDefault="001205B2" w:rsidP="001205B2">
            <w:pPr>
              <w:spacing w:before="120" w:after="120" w:line="240" w:lineRule="auto"/>
              <w:jc w:val="both"/>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5 years</w:t>
            </w:r>
          </w:p>
        </w:tc>
      </w:tr>
      <w:tr w:rsidR="001205B2" w:rsidRPr="001205B2" w14:paraId="39F51EFC" w14:textId="77777777" w:rsidTr="0048528E">
        <w:trPr>
          <w:jc w:val="center"/>
        </w:trPr>
        <w:tc>
          <w:tcPr>
            <w:tcW w:w="2681" w:type="dxa"/>
            <w:vAlign w:val="center"/>
          </w:tcPr>
          <w:p w14:paraId="5B0BE17B"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Proposed release size</w:t>
            </w:r>
          </w:p>
        </w:tc>
        <w:tc>
          <w:tcPr>
            <w:tcW w:w="7214" w:type="dxa"/>
            <w:vAlign w:val="center"/>
          </w:tcPr>
          <w:p w14:paraId="71D60119" w14:textId="77777777" w:rsidR="001205B2" w:rsidRPr="001205B2" w:rsidRDefault="001205B2" w:rsidP="001205B2">
            <w:pPr>
              <w:spacing w:before="120" w:after="120" w:line="240" w:lineRule="auto"/>
              <w:jc w:val="both"/>
              <w:rPr>
                <w:rFonts w:ascii="Calibri" w:eastAsia="Times New Roman" w:hAnsi="Calibri"/>
                <w:kern w:val="0"/>
                <w:sz w:val="22"/>
                <w:lang w:eastAsia="en-AU"/>
                <w14:ligatures w14:val="none"/>
              </w:rPr>
            </w:pPr>
            <w:r w:rsidRPr="001205B2">
              <w:rPr>
                <w:rFonts w:ascii="Calibri" w:eastAsia="Times New Roman" w:hAnsi="Calibri"/>
                <w:kern w:val="0"/>
                <w:sz w:val="22"/>
                <w:lang w:eastAsia="en-AU"/>
                <w14:ligatures w14:val="none"/>
              </w:rPr>
              <w:t>At least 3 participants would be enrolled in the trial in Australia</w:t>
            </w:r>
          </w:p>
        </w:tc>
      </w:tr>
      <w:tr w:rsidR="001205B2" w:rsidRPr="001205B2" w14:paraId="173C8238" w14:textId="77777777" w:rsidTr="0048528E">
        <w:trPr>
          <w:jc w:val="center"/>
        </w:trPr>
        <w:tc>
          <w:tcPr>
            <w:tcW w:w="2681" w:type="dxa"/>
            <w:vAlign w:val="center"/>
          </w:tcPr>
          <w:p w14:paraId="0BB2699D"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Proposed locations</w:t>
            </w:r>
          </w:p>
        </w:tc>
        <w:tc>
          <w:tcPr>
            <w:tcW w:w="7214" w:type="dxa"/>
            <w:vAlign w:val="center"/>
          </w:tcPr>
          <w:p w14:paraId="568A6B20" w14:textId="77777777" w:rsidR="001205B2" w:rsidRPr="001205B2" w:rsidRDefault="001205B2" w:rsidP="001205B2">
            <w:pPr>
              <w:spacing w:before="120" w:after="240" w:line="240" w:lineRule="auto"/>
              <w:jc w:val="both"/>
              <w:rPr>
                <w:rFonts w:ascii="Calibri" w:eastAsia="Times New Roman" w:hAnsi="Calibri"/>
                <w:kern w:val="0"/>
                <w:sz w:val="22"/>
                <w:szCs w:val="22"/>
                <w:highlight w:val="yellow"/>
                <w:lang w:eastAsia="en-AU"/>
                <w14:ligatures w14:val="none"/>
              </w:rPr>
            </w:pPr>
            <w:r w:rsidRPr="001205B2">
              <w:rPr>
                <w:rFonts w:ascii="Calibri" w:eastAsia="Times New Roman" w:hAnsi="Calibri" w:cs="Calibri"/>
                <w:kern w:val="0"/>
                <w:sz w:val="22"/>
                <w:lang w:eastAsia="en-AU"/>
                <w14:ligatures w14:val="none"/>
              </w:rPr>
              <w:t xml:space="preserve">This clinical trial would be conducted within Australia at clinical trial sites, hospitals </w:t>
            </w:r>
            <w:r w:rsidRPr="001205B2">
              <w:rPr>
                <w:rFonts w:ascii="Calibri" w:eastAsia="Times New Roman" w:hAnsi="Calibri"/>
                <w:kern w:val="0"/>
                <w:sz w:val="22"/>
                <w:szCs w:val="22"/>
                <w:lang w:eastAsia="en-AU"/>
                <w14:ligatures w14:val="none"/>
              </w:rPr>
              <w:t xml:space="preserve">and other sites through the Hospital </w:t>
            </w:r>
            <w:proofErr w:type="gramStart"/>
            <w:r w:rsidRPr="001205B2">
              <w:rPr>
                <w:rFonts w:ascii="Calibri" w:eastAsia="Times New Roman" w:hAnsi="Calibri"/>
                <w:kern w:val="0"/>
                <w:sz w:val="22"/>
                <w:szCs w:val="22"/>
                <w:lang w:eastAsia="en-AU"/>
                <w14:ligatures w14:val="none"/>
              </w:rPr>
              <w:t>In</w:t>
            </w:r>
            <w:proofErr w:type="gramEnd"/>
            <w:r w:rsidRPr="001205B2">
              <w:rPr>
                <w:rFonts w:ascii="Calibri" w:eastAsia="Times New Roman" w:hAnsi="Calibri"/>
                <w:kern w:val="0"/>
                <w:sz w:val="22"/>
                <w:szCs w:val="22"/>
                <w:lang w:eastAsia="en-AU"/>
                <w14:ligatures w14:val="none"/>
              </w:rPr>
              <w:t xml:space="preserve"> The Home (HITH) program</w:t>
            </w:r>
            <w:r w:rsidRPr="001205B2">
              <w:rPr>
                <w:rFonts w:ascii="Calibri" w:eastAsia="Times New Roman" w:hAnsi="Calibri" w:cs="Calibri"/>
                <w:kern w:val="0"/>
                <w:sz w:val="22"/>
                <w:lang w:eastAsia="en-AU"/>
                <w14:ligatures w14:val="none"/>
              </w:rPr>
              <w:t>. The number of sites and specific locations are yet to be determined.</w:t>
            </w:r>
          </w:p>
        </w:tc>
      </w:tr>
      <w:tr w:rsidR="001205B2" w:rsidRPr="001205B2" w14:paraId="3250D6E3" w14:textId="77777777" w:rsidTr="0048528E">
        <w:trPr>
          <w:jc w:val="center"/>
        </w:trPr>
        <w:tc>
          <w:tcPr>
            <w:tcW w:w="2681" w:type="dxa"/>
          </w:tcPr>
          <w:p w14:paraId="075C5EC9" w14:textId="77777777" w:rsidR="001205B2" w:rsidRPr="001205B2" w:rsidRDefault="001205B2" w:rsidP="001205B2">
            <w:pPr>
              <w:spacing w:before="120" w:after="120" w:line="240" w:lineRule="auto"/>
              <w:jc w:val="both"/>
              <w:rPr>
                <w:rFonts w:ascii="Calibri" w:eastAsia="Times New Roman" w:hAnsi="Calibri"/>
                <w:b/>
                <w:bCs/>
                <w:kern w:val="0"/>
                <w:sz w:val="22"/>
                <w:lang w:eastAsia="en-AU"/>
                <w14:ligatures w14:val="none"/>
              </w:rPr>
            </w:pPr>
            <w:r w:rsidRPr="001205B2">
              <w:rPr>
                <w:rFonts w:ascii="Calibri" w:eastAsia="Times New Roman" w:hAnsi="Calibri"/>
                <w:b/>
                <w:bCs/>
                <w:kern w:val="0"/>
                <w:sz w:val="22"/>
                <w:lang w:eastAsia="en-AU"/>
                <w14:ligatures w14:val="none"/>
              </w:rPr>
              <w:t>Proposed controls</w:t>
            </w:r>
          </w:p>
        </w:tc>
        <w:tc>
          <w:tcPr>
            <w:tcW w:w="7214" w:type="dxa"/>
          </w:tcPr>
          <w:p w14:paraId="7DAD0096" w14:textId="77777777" w:rsidR="001205B2" w:rsidRPr="002F4D0C" w:rsidRDefault="001205B2" w:rsidP="002F4D0C">
            <w:pPr>
              <w:pStyle w:val="ListParagraph"/>
              <w:numPr>
                <w:ilvl w:val="0"/>
                <w:numId w:val="1"/>
              </w:numPr>
              <w:spacing w:after="0" w:line="240" w:lineRule="auto"/>
              <w:rPr>
                <w:rFonts w:ascii="Calibri" w:eastAsia="Times New Roman" w:hAnsi="Calibri"/>
                <w:kern w:val="0"/>
                <w:sz w:val="22"/>
                <w:szCs w:val="22"/>
                <w:lang w:eastAsia="en-AU"/>
                <w14:ligatures w14:val="none"/>
              </w:rPr>
            </w:pPr>
            <w:r w:rsidRPr="002F4D0C">
              <w:rPr>
                <w:rFonts w:ascii="Calibri" w:eastAsia="Times New Roman" w:hAnsi="Calibri"/>
                <w:kern w:val="0"/>
                <w:sz w:val="22"/>
                <w:szCs w:val="22"/>
                <w:lang w:eastAsia="en-AU"/>
                <w14:ligatures w14:val="none"/>
              </w:rPr>
              <w:t>Administration will be in-hospital or by qualified persons under the HITH program.</w:t>
            </w:r>
          </w:p>
          <w:p w14:paraId="70FC63D7" w14:textId="77777777" w:rsidR="001205B2" w:rsidRPr="002F4D0C" w:rsidRDefault="001205B2" w:rsidP="002F4D0C">
            <w:pPr>
              <w:pStyle w:val="ListParagraph"/>
              <w:numPr>
                <w:ilvl w:val="0"/>
                <w:numId w:val="1"/>
              </w:numPr>
              <w:spacing w:after="0" w:line="240" w:lineRule="auto"/>
              <w:rPr>
                <w:rFonts w:ascii="Calibri" w:eastAsia="Times New Roman" w:hAnsi="Calibri"/>
                <w:kern w:val="0"/>
                <w:sz w:val="22"/>
                <w:szCs w:val="22"/>
                <w:lang w:eastAsia="en-AU"/>
                <w14:ligatures w14:val="none"/>
              </w:rPr>
            </w:pPr>
            <w:r w:rsidRPr="002F4D0C">
              <w:rPr>
                <w:rFonts w:ascii="Calibri" w:eastAsia="Times New Roman" w:hAnsi="Calibri"/>
                <w:kern w:val="0"/>
                <w:sz w:val="22"/>
                <w:szCs w:val="22"/>
                <w:lang w:eastAsia="en-AU"/>
                <w14:ligatures w14:val="none"/>
              </w:rPr>
              <w:t>Qualified persons will change dressings.</w:t>
            </w:r>
          </w:p>
          <w:p w14:paraId="1D8F17EF" w14:textId="77777777" w:rsidR="001205B2" w:rsidRPr="002F4D0C" w:rsidRDefault="001205B2" w:rsidP="002F4D0C">
            <w:pPr>
              <w:pStyle w:val="ListParagraph"/>
              <w:numPr>
                <w:ilvl w:val="0"/>
                <w:numId w:val="1"/>
              </w:numPr>
              <w:spacing w:after="0" w:line="240" w:lineRule="auto"/>
              <w:rPr>
                <w:rFonts w:ascii="Calibri" w:eastAsia="Times New Roman" w:hAnsi="Calibri"/>
                <w:kern w:val="0"/>
                <w:sz w:val="22"/>
                <w:szCs w:val="22"/>
                <w:lang w:eastAsia="en-AU"/>
                <w14:ligatures w14:val="none"/>
              </w:rPr>
            </w:pPr>
            <w:r w:rsidRPr="002F4D0C">
              <w:rPr>
                <w:rFonts w:ascii="Calibri" w:eastAsia="Times New Roman" w:hAnsi="Calibri"/>
                <w:kern w:val="0"/>
                <w:sz w:val="22"/>
                <w:szCs w:val="22"/>
                <w:lang w:eastAsia="en-AU"/>
                <w14:ligatures w14:val="none"/>
              </w:rPr>
              <w:t xml:space="preserve">Administration will only be to participants under Special Access Scheme </w:t>
            </w:r>
            <w:proofErr w:type="gramStart"/>
            <w:r w:rsidRPr="002F4D0C">
              <w:rPr>
                <w:rFonts w:ascii="Calibri" w:eastAsia="Times New Roman" w:hAnsi="Calibri"/>
                <w:kern w:val="0"/>
                <w:sz w:val="22"/>
                <w:szCs w:val="22"/>
                <w:lang w:eastAsia="en-AU"/>
                <w14:ligatures w14:val="none"/>
              </w:rPr>
              <w:t>categories</w:t>
            </w:r>
            <w:proofErr w:type="gramEnd"/>
            <w:r w:rsidRPr="002F4D0C">
              <w:rPr>
                <w:rFonts w:ascii="Calibri" w:eastAsia="Times New Roman" w:hAnsi="Calibri"/>
                <w:kern w:val="0"/>
                <w:sz w:val="22"/>
                <w:szCs w:val="22"/>
                <w:lang w:eastAsia="en-AU"/>
                <w14:ligatures w14:val="none"/>
              </w:rPr>
              <w:t xml:space="preserve"> A and B.</w:t>
            </w:r>
          </w:p>
          <w:p w14:paraId="1595E3CC" w14:textId="77777777" w:rsidR="001205B2" w:rsidRPr="002F4D0C" w:rsidRDefault="001205B2" w:rsidP="002F4D0C">
            <w:pPr>
              <w:pStyle w:val="ListParagraph"/>
              <w:numPr>
                <w:ilvl w:val="0"/>
                <w:numId w:val="1"/>
              </w:numPr>
              <w:spacing w:after="0" w:line="240" w:lineRule="auto"/>
              <w:rPr>
                <w:rFonts w:ascii="Calibri" w:eastAsia="Times New Roman" w:hAnsi="Calibri"/>
                <w:kern w:val="0"/>
                <w:sz w:val="22"/>
                <w:szCs w:val="22"/>
                <w:lang w:eastAsia="en-AU"/>
                <w14:ligatures w14:val="none"/>
              </w:rPr>
            </w:pPr>
            <w:r w:rsidRPr="002F4D0C">
              <w:rPr>
                <w:rFonts w:ascii="Calibri" w:eastAsia="Times New Roman" w:hAnsi="Calibri"/>
                <w:kern w:val="0"/>
                <w:sz w:val="22"/>
                <w:szCs w:val="22"/>
                <w:lang w:eastAsia="en-AU"/>
                <w14:ligatures w14:val="none"/>
              </w:rPr>
              <w:t xml:space="preserve">Administration will be limited to the treatment of those with mycobacterial infections. </w:t>
            </w:r>
          </w:p>
        </w:tc>
      </w:tr>
      <w:bookmarkEnd w:id="13"/>
      <w:bookmarkEnd w:id="14"/>
      <w:bookmarkEnd w:id="15"/>
      <w:bookmarkEnd w:id="18"/>
      <w:bookmarkEnd w:id="19"/>
    </w:tbl>
    <w:p w14:paraId="62508AC5" w14:textId="77777777" w:rsidR="001205B2" w:rsidRPr="001205B2" w:rsidRDefault="001205B2" w:rsidP="001205B2">
      <w:pPr>
        <w:spacing w:before="120" w:after="120" w:line="240" w:lineRule="auto"/>
        <w:jc w:val="both"/>
        <w:rPr>
          <w:rFonts w:ascii="Calibri" w:eastAsia="Times New Roman" w:hAnsi="Calibri"/>
          <w:kern w:val="0"/>
          <w:sz w:val="22"/>
          <w:lang w:eastAsia="en-AU"/>
          <w14:ligatures w14:val="none"/>
        </w:rPr>
      </w:pPr>
    </w:p>
    <w:p w14:paraId="46E88C45" w14:textId="77777777" w:rsidR="001205B2" w:rsidRPr="001205B2" w:rsidRDefault="001205B2" w:rsidP="001205B2">
      <w:pPr>
        <w:keepNext/>
        <w:tabs>
          <w:tab w:val="left" w:pos="1418"/>
        </w:tabs>
        <w:spacing w:before="240" w:after="60" w:line="240" w:lineRule="auto"/>
        <w:jc w:val="both"/>
        <w:outlineLvl w:val="1"/>
        <w:rPr>
          <w:rFonts w:ascii="Calibri" w:eastAsia="Times New Roman" w:hAnsi="Calibri"/>
          <w:b/>
          <w:i/>
          <w:kern w:val="0"/>
          <w:sz w:val="28"/>
          <w:szCs w:val="28"/>
          <w:lang w:eastAsia="en-AU"/>
          <w14:ligatures w14:val="none"/>
        </w:rPr>
      </w:pPr>
      <w:bookmarkStart w:id="23" w:name="_Toc105688450"/>
      <w:bookmarkStart w:id="24" w:name="_Toc187140649"/>
      <w:r w:rsidRPr="001205B2">
        <w:rPr>
          <w:rFonts w:ascii="Calibri" w:eastAsia="Times New Roman" w:hAnsi="Calibri"/>
          <w:b/>
          <w:i/>
          <w:kern w:val="0"/>
          <w:sz w:val="28"/>
          <w:szCs w:val="28"/>
          <w:lang w:eastAsia="en-AU"/>
          <w14:ligatures w14:val="none"/>
        </w:rPr>
        <w:t>Risk assessment</w:t>
      </w:r>
      <w:bookmarkEnd w:id="23"/>
      <w:bookmarkEnd w:id="24"/>
    </w:p>
    <w:p w14:paraId="625A11B3" w14:textId="77777777" w:rsidR="001205B2" w:rsidRPr="001205B2" w:rsidRDefault="001205B2" w:rsidP="001205B2">
      <w:pPr>
        <w:spacing w:before="120" w:after="120" w:line="240" w:lineRule="auto"/>
        <w:rPr>
          <w:rFonts w:ascii="Calibri" w:eastAsia="Times New Roman" w:hAnsi="Calibri"/>
          <w:kern w:val="0"/>
          <w:sz w:val="22"/>
          <w:lang w:eastAsia="en-AU"/>
          <w14:ligatures w14:val="none"/>
        </w:rPr>
      </w:pPr>
      <w:r w:rsidRPr="001205B2">
        <w:rPr>
          <w:rFonts w:ascii="Calibri" w:eastAsia="Times New Roman" w:hAnsi="Calibri" w:cs="Calibri"/>
          <w:kern w:val="0"/>
          <w:sz w:val="22"/>
          <w:lang w:eastAsia="en-AU"/>
          <w14:ligatures w14:val="none"/>
        </w:rPr>
        <w:t>The risk assessment process considers how the genetic modification and activities conducted with the GM bacteriophages in the context of import, transport, storage, administration and disposal might lead to harm to people or the environment. Risks are characterised in relation to both</w:t>
      </w:r>
      <w:r w:rsidRPr="001205B2">
        <w:rPr>
          <w:rFonts w:ascii="Calibri" w:eastAsia="Times New Roman" w:hAnsi="Calibri" w:cs="Calibri"/>
          <w:kern w:val="0"/>
          <w:sz w:val="22"/>
          <w:szCs w:val="22"/>
          <w:lang w:eastAsia="en-AU"/>
          <w14:ligatures w14:val="none"/>
        </w:rPr>
        <w:t xml:space="preserve"> the seriousness and likelihood of harm, </w:t>
      </w:r>
      <w:proofErr w:type="gramStart"/>
      <w:r w:rsidRPr="001205B2">
        <w:rPr>
          <w:rFonts w:ascii="Calibri" w:eastAsia="Times New Roman" w:hAnsi="Calibri" w:cs="Calibri"/>
          <w:kern w:val="0"/>
          <w:sz w:val="22"/>
          <w:szCs w:val="22"/>
          <w:lang w:eastAsia="en-AU"/>
          <w14:ligatures w14:val="none"/>
        </w:rPr>
        <w:t>taking into account</w:t>
      </w:r>
      <w:proofErr w:type="gramEnd"/>
      <w:r w:rsidRPr="001205B2">
        <w:rPr>
          <w:rFonts w:ascii="Calibri" w:eastAsia="Times New Roman" w:hAnsi="Calibri" w:cs="Calibri"/>
          <w:kern w:val="0"/>
          <w:sz w:val="22"/>
          <w:szCs w:val="22"/>
          <w:lang w:eastAsia="en-AU"/>
          <w14:ligatures w14:val="none"/>
        </w:rPr>
        <w:t xml:space="preserve"> information in the application, relevant previous approvals, current scientific knowledge and advice received from a wide range of experts, agencies and authorities consulted on the preparation of the RARMP. Both the short- and long-term risks were considered. </w:t>
      </w:r>
    </w:p>
    <w:p w14:paraId="3465E9AD" w14:textId="77777777" w:rsidR="001205B2" w:rsidRPr="001205B2" w:rsidRDefault="001205B2" w:rsidP="001205B2">
      <w:pPr>
        <w:spacing w:before="120" w:after="120" w:line="240" w:lineRule="auto"/>
        <w:rPr>
          <w:rFonts w:ascii="Calibri" w:eastAsia="Times New Roman" w:hAnsi="Calibri" w:cs="Calibri"/>
          <w:kern w:val="0"/>
          <w:sz w:val="22"/>
          <w:szCs w:val="22"/>
          <w:lang w:eastAsia="en-AU"/>
          <w14:ligatures w14:val="none"/>
        </w:rPr>
      </w:pPr>
      <w:r w:rsidRPr="001205B2">
        <w:rPr>
          <w:rFonts w:ascii="Calibri" w:eastAsia="Times New Roman" w:hAnsi="Calibri" w:cs="Calibri"/>
          <w:kern w:val="0"/>
          <w:sz w:val="22"/>
          <w:szCs w:val="22"/>
          <w:lang w:eastAsia="en-AU"/>
          <w14:ligatures w14:val="none"/>
        </w:rPr>
        <w:lastRenderedPageBreak/>
        <w:t xml:space="preserve">Credible pathways to potential harm that were considered </w:t>
      </w:r>
      <w:proofErr w:type="gramStart"/>
      <w:r w:rsidRPr="001205B2">
        <w:rPr>
          <w:rFonts w:ascii="Calibri" w:eastAsia="Times New Roman" w:hAnsi="Calibri" w:cs="Calibri"/>
          <w:kern w:val="0"/>
          <w:sz w:val="22"/>
          <w:szCs w:val="22"/>
          <w:lang w:eastAsia="en-AU"/>
          <w14:ligatures w14:val="none"/>
        </w:rPr>
        <w:t>include;</w:t>
      </w:r>
      <w:proofErr w:type="gramEnd"/>
      <w:r w:rsidRPr="001205B2">
        <w:rPr>
          <w:rFonts w:ascii="Calibri" w:eastAsia="Times New Roman" w:hAnsi="Calibri" w:cs="Calibri"/>
          <w:kern w:val="0"/>
          <w:sz w:val="22"/>
          <w:szCs w:val="22"/>
          <w:lang w:eastAsia="en-AU"/>
          <w14:ligatures w14:val="none"/>
        </w:rPr>
        <w:t xml:space="preserve"> the potential exposure of people to the GMO; the potential exposure of animals to the GMO; and the potential for the GMO to recombine with other similar bacteriophages. The potential for the GMO to be released into the environment and its effects were also considered.</w:t>
      </w:r>
    </w:p>
    <w:p w14:paraId="44C27008" w14:textId="77777777" w:rsidR="001205B2" w:rsidRPr="001205B2" w:rsidRDefault="001205B2" w:rsidP="001205B2">
      <w:pPr>
        <w:spacing w:before="120" w:after="120" w:line="240" w:lineRule="auto"/>
        <w:rPr>
          <w:rFonts w:ascii="Calibri" w:eastAsia="Times New Roman" w:hAnsi="Calibri"/>
          <w:bCs/>
          <w:kern w:val="0"/>
          <w:sz w:val="22"/>
          <w:lang w:eastAsia="en-AU"/>
          <w14:ligatures w14:val="none"/>
        </w:rPr>
      </w:pPr>
      <w:r w:rsidRPr="001205B2">
        <w:rPr>
          <w:rFonts w:ascii="Calibri" w:eastAsia="Times New Roman" w:hAnsi="Calibri"/>
          <w:kern w:val="0"/>
          <w:sz w:val="22"/>
          <w:lang w:eastAsia="en-AU"/>
          <w14:ligatures w14:val="none"/>
        </w:rPr>
        <w:t xml:space="preserve">The risk assessment concludes that risks to the health and safety of people are negligible and the risks to the environment from the proposed dealings with the GM bacteriophages are </w:t>
      </w:r>
      <w:r w:rsidRPr="001205B2">
        <w:rPr>
          <w:rFonts w:ascii="Calibri" w:eastAsia="Times New Roman" w:hAnsi="Calibri"/>
          <w:bCs/>
          <w:kern w:val="0"/>
          <w:sz w:val="22"/>
          <w:lang w:eastAsia="en-AU"/>
          <w14:ligatures w14:val="none"/>
        </w:rPr>
        <w:t>negligible</w:t>
      </w:r>
      <w:r w:rsidRPr="001205B2">
        <w:rPr>
          <w:rFonts w:ascii="Calibri" w:eastAsia="Times New Roman" w:hAnsi="Calibri"/>
          <w:kern w:val="0"/>
          <w:sz w:val="22"/>
          <w:lang w:eastAsia="en-AU"/>
          <w14:ligatures w14:val="none"/>
        </w:rPr>
        <w:t>. S</w:t>
      </w:r>
      <w:r w:rsidRPr="001205B2">
        <w:rPr>
          <w:rFonts w:ascii="Calibri" w:eastAsia="Times New Roman" w:hAnsi="Calibri"/>
          <w:bCs/>
          <w:kern w:val="0"/>
          <w:sz w:val="22"/>
          <w:lang w:eastAsia="en-AU"/>
          <w14:ligatures w14:val="none"/>
        </w:rPr>
        <w:t>pecific risk treatment measures are included in the licence to maintain the risk context.</w:t>
      </w:r>
    </w:p>
    <w:p w14:paraId="7250C91B" w14:textId="77777777" w:rsidR="001205B2" w:rsidRPr="001205B2" w:rsidRDefault="001205B2" w:rsidP="001205B2">
      <w:pPr>
        <w:keepNext/>
        <w:tabs>
          <w:tab w:val="left" w:pos="1418"/>
        </w:tabs>
        <w:spacing w:before="240" w:after="60" w:line="240" w:lineRule="auto"/>
        <w:outlineLvl w:val="1"/>
        <w:rPr>
          <w:rFonts w:ascii="Calibri" w:eastAsia="Times New Roman" w:hAnsi="Calibri"/>
          <w:b/>
          <w:i/>
          <w:kern w:val="0"/>
          <w:sz w:val="28"/>
          <w:szCs w:val="28"/>
          <w:lang w:eastAsia="en-AU"/>
          <w14:ligatures w14:val="none"/>
        </w:rPr>
      </w:pPr>
      <w:bookmarkStart w:id="25" w:name="_Toc47536737"/>
      <w:bookmarkStart w:id="26" w:name="_Toc105688451"/>
      <w:bookmarkStart w:id="27" w:name="_Toc187140650"/>
      <w:r w:rsidRPr="001205B2">
        <w:rPr>
          <w:rFonts w:ascii="Calibri" w:eastAsia="Times New Roman" w:hAnsi="Calibri"/>
          <w:b/>
          <w:i/>
          <w:kern w:val="0"/>
          <w:sz w:val="28"/>
          <w:szCs w:val="28"/>
          <w:lang w:eastAsia="en-AU"/>
          <w14:ligatures w14:val="none"/>
        </w:rPr>
        <w:t>Risk ma</w:t>
      </w:r>
      <w:bookmarkStart w:id="28" w:name="_Toc209859549"/>
      <w:bookmarkStart w:id="29" w:name="_Toc342042137"/>
      <w:bookmarkStart w:id="30" w:name="_Toc291151778"/>
      <w:bookmarkStart w:id="31" w:name="_Toc274904728"/>
      <w:r w:rsidRPr="001205B2">
        <w:rPr>
          <w:rFonts w:ascii="Calibri" w:eastAsia="Times New Roman" w:hAnsi="Calibri"/>
          <w:b/>
          <w:i/>
          <w:kern w:val="0"/>
          <w:sz w:val="28"/>
          <w:szCs w:val="28"/>
          <w:lang w:eastAsia="en-AU"/>
          <w14:ligatures w14:val="none"/>
        </w:rPr>
        <w:t>nagement</w:t>
      </w:r>
      <w:bookmarkEnd w:id="25"/>
      <w:bookmarkEnd w:id="26"/>
      <w:bookmarkEnd w:id="27"/>
      <w:bookmarkEnd w:id="28"/>
      <w:bookmarkEnd w:id="29"/>
      <w:bookmarkEnd w:id="30"/>
      <w:bookmarkEnd w:id="31"/>
    </w:p>
    <w:p w14:paraId="204007B9" w14:textId="77777777" w:rsidR="001205B2" w:rsidRPr="001205B2" w:rsidRDefault="001205B2" w:rsidP="001205B2">
      <w:pPr>
        <w:spacing w:before="120" w:after="120" w:line="240" w:lineRule="auto"/>
        <w:rPr>
          <w:rFonts w:ascii="Calibri" w:eastAsia="SimSun" w:hAnsi="Calibri"/>
          <w:kern w:val="0"/>
          <w:sz w:val="22"/>
          <w:szCs w:val="22"/>
          <w:lang w:eastAsia="en-AU"/>
          <w14:ligatures w14:val="none"/>
        </w:rPr>
      </w:pPr>
      <w:r w:rsidRPr="001205B2">
        <w:rPr>
          <w:rFonts w:ascii="Calibri" w:eastAsia="SimSun" w:hAnsi="Calibri"/>
          <w:kern w:val="0"/>
          <w:sz w:val="22"/>
          <w:szCs w:val="22"/>
          <w:lang w:eastAsia="en-AU"/>
          <w14:ligatures w14:val="none"/>
        </w:rPr>
        <w:t xml:space="preserve">The risk management plan describes measures to protect the health and safety of people and to protect the environment by controlling or mitigating risk. The risk management plan is given effect through licence conditions. Licence conditions are detailed in </w:t>
      </w:r>
      <w:r w:rsidRPr="001205B2">
        <w:rPr>
          <w:rFonts w:ascii="Calibri" w:eastAsia="SimSun" w:hAnsi="Calibri"/>
          <w:kern w:val="0"/>
          <w:sz w:val="22"/>
          <w:szCs w:val="22"/>
          <w:lang w:eastAsia="en-AU"/>
          <w14:ligatures w14:val="none"/>
        </w:rPr>
        <w:fldChar w:fldCharType="begin"/>
      </w:r>
      <w:r w:rsidRPr="001205B2">
        <w:rPr>
          <w:rFonts w:ascii="Calibri" w:eastAsia="SimSun" w:hAnsi="Calibri"/>
          <w:kern w:val="0"/>
          <w:sz w:val="22"/>
          <w:szCs w:val="22"/>
          <w:lang w:eastAsia="en-AU"/>
          <w14:ligatures w14:val="none"/>
        </w:rPr>
        <w:instrText xml:space="preserve"> REF _Ref67989492 \r \h  \* MERGEFORMAT </w:instrText>
      </w:r>
      <w:r w:rsidRPr="001205B2">
        <w:rPr>
          <w:rFonts w:ascii="Calibri" w:eastAsia="SimSun" w:hAnsi="Calibri"/>
          <w:kern w:val="0"/>
          <w:sz w:val="22"/>
          <w:szCs w:val="22"/>
          <w:lang w:eastAsia="en-AU"/>
          <w14:ligatures w14:val="none"/>
        </w:rPr>
      </w:r>
      <w:r w:rsidRPr="001205B2">
        <w:rPr>
          <w:rFonts w:ascii="Calibri" w:eastAsia="SimSun" w:hAnsi="Calibri"/>
          <w:kern w:val="0"/>
          <w:sz w:val="22"/>
          <w:szCs w:val="22"/>
          <w:lang w:eastAsia="en-AU"/>
          <w14:ligatures w14:val="none"/>
        </w:rPr>
        <w:fldChar w:fldCharType="separate"/>
      </w:r>
      <w:r w:rsidRPr="001205B2">
        <w:rPr>
          <w:rFonts w:ascii="Calibri" w:eastAsia="SimSun" w:hAnsi="Calibri"/>
          <w:kern w:val="0"/>
          <w:sz w:val="22"/>
          <w:szCs w:val="22"/>
          <w:lang w:eastAsia="en-AU"/>
          <w14:ligatures w14:val="none"/>
        </w:rPr>
        <w:t>Chapter 4</w:t>
      </w:r>
      <w:r w:rsidRPr="001205B2">
        <w:rPr>
          <w:rFonts w:ascii="Calibri" w:eastAsia="SimSun" w:hAnsi="Calibri"/>
          <w:kern w:val="0"/>
          <w:sz w:val="22"/>
          <w:szCs w:val="22"/>
          <w:lang w:eastAsia="en-AU"/>
          <w14:ligatures w14:val="none"/>
        </w:rPr>
        <w:fldChar w:fldCharType="end"/>
      </w:r>
      <w:r w:rsidRPr="001205B2">
        <w:rPr>
          <w:rFonts w:ascii="Calibri" w:eastAsia="SimSun" w:hAnsi="Calibri"/>
          <w:kern w:val="0"/>
          <w:sz w:val="22"/>
          <w:szCs w:val="22"/>
          <w:lang w:eastAsia="en-AU"/>
          <w14:ligatures w14:val="none"/>
        </w:rPr>
        <w:t xml:space="preserve"> of the RARMP.</w:t>
      </w:r>
    </w:p>
    <w:p w14:paraId="537501DF" w14:textId="77777777" w:rsidR="001205B2" w:rsidRPr="001205B2" w:rsidRDefault="001205B2" w:rsidP="001205B2">
      <w:pPr>
        <w:spacing w:before="120" w:after="120" w:line="240" w:lineRule="auto"/>
        <w:rPr>
          <w:rFonts w:ascii="Calibri" w:eastAsia="Times New Roman" w:hAnsi="Calibri"/>
          <w:bCs/>
          <w:kern w:val="0"/>
          <w:sz w:val="22"/>
          <w:lang w:eastAsia="en-AU"/>
          <w14:ligatures w14:val="none"/>
        </w:rPr>
      </w:pPr>
      <w:r w:rsidRPr="001205B2">
        <w:rPr>
          <w:rFonts w:ascii="Calibri" w:eastAsia="SimSun" w:hAnsi="Calibri"/>
          <w:kern w:val="0"/>
          <w:sz w:val="22"/>
          <w:szCs w:val="22"/>
          <w:lang w:eastAsia="en-AU"/>
          <w14:ligatures w14:val="none"/>
        </w:rPr>
        <w:t>As the level of risk is considered negligible,</w:t>
      </w:r>
      <w:r w:rsidRPr="001205B2" w:rsidDel="00DB4CC6">
        <w:rPr>
          <w:rFonts w:ascii="Calibri" w:eastAsia="SimSun" w:hAnsi="Calibri"/>
          <w:kern w:val="0"/>
          <w:sz w:val="22"/>
          <w:szCs w:val="22"/>
          <w:lang w:eastAsia="en-AU"/>
          <w14:ligatures w14:val="none"/>
        </w:rPr>
        <w:t xml:space="preserve"> </w:t>
      </w:r>
      <w:r w:rsidRPr="001205B2">
        <w:rPr>
          <w:rFonts w:ascii="Calibri" w:eastAsia="SimSun" w:hAnsi="Calibri"/>
          <w:kern w:val="0"/>
          <w:sz w:val="22"/>
          <w:szCs w:val="22"/>
          <w:lang w:eastAsia="en-AU"/>
          <w14:ligatures w14:val="none"/>
        </w:rPr>
        <w:t xml:space="preserve">specific risk treatment is not required. </w:t>
      </w:r>
      <w:r w:rsidRPr="001205B2">
        <w:rPr>
          <w:rFonts w:ascii="Calibri" w:eastAsia="Times New Roman" w:hAnsi="Calibri"/>
          <w:bCs/>
          <w:kern w:val="0"/>
          <w:sz w:val="22"/>
          <w:lang w:eastAsia="en-AU"/>
          <w14:ligatures w14:val="none"/>
        </w:rPr>
        <w:t xml:space="preserve">However, as this application was assessed as a limited and control licence and limited data are available for the use of this class of GMOs in clinical trials, conditions were included in the licence to minimise </w:t>
      </w:r>
      <w:r w:rsidRPr="001205B2">
        <w:rPr>
          <w:rFonts w:ascii="Calibri" w:eastAsia="SimSun" w:hAnsi="Calibri"/>
          <w:kern w:val="0"/>
          <w:sz w:val="22"/>
          <w:szCs w:val="22"/>
          <w:lang w:eastAsia="en-AU"/>
          <w14:ligatures w14:val="none"/>
        </w:rPr>
        <w:t>the potential for the GMO to spread in the environment</w:t>
      </w:r>
      <w:r w:rsidRPr="001205B2">
        <w:rPr>
          <w:rFonts w:ascii="Calibri" w:eastAsia="Times New Roman" w:hAnsi="Calibri"/>
          <w:bCs/>
          <w:kern w:val="0"/>
          <w:sz w:val="22"/>
          <w:lang w:eastAsia="en-AU"/>
          <w14:ligatures w14:val="none"/>
        </w:rPr>
        <w:t>.</w:t>
      </w:r>
      <w:r w:rsidRPr="001205B2">
        <w:rPr>
          <w:rFonts w:ascii="Calibri" w:eastAsia="SimSun" w:hAnsi="Calibri"/>
          <w:kern w:val="0"/>
          <w:sz w:val="22"/>
          <w:szCs w:val="22"/>
          <w:lang w:eastAsia="en-AU"/>
          <w14:ligatures w14:val="none"/>
        </w:rPr>
        <w:t xml:space="preserve"> Since this is a clinical trial, the licence includes limits on the inclusion criteria of trial participants and the duration of the trial. In addition, there are several general conditions relating to ongoing licence holder suitability, auditing and monitoring, and reporting requirements which include an obligation to report any unintended effects.</w:t>
      </w:r>
    </w:p>
    <w:p w14:paraId="4AD5B4A8" w14:textId="77777777" w:rsidR="001205B2" w:rsidRPr="001205B2" w:rsidRDefault="001205B2" w:rsidP="001205B2">
      <w:pPr>
        <w:spacing w:before="120" w:after="120" w:line="240" w:lineRule="auto"/>
        <w:jc w:val="both"/>
        <w:rPr>
          <w:rFonts w:ascii="Calibri" w:eastAsia="SimSun" w:hAnsi="Calibri"/>
          <w:kern w:val="0"/>
          <w:sz w:val="22"/>
          <w:szCs w:val="22"/>
          <w:lang w:eastAsia="en-AU"/>
          <w14:ligatures w14:val="none"/>
        </w:rPr>
        <w:sectPr w:rsidR="001205B2" w:rsidRPr="001205B2" w:rsidSect="001205B2">
          <w:headerReference w:type="default" r:id="rId9"/>
          <w:footerReference w:type="default" r:id="rId10"/>
          <w:pgSz w:w="11909" w:h="16834" w:code="9"/>
          <w:pgMar w:top="1440" w:right="1440" w:bottom="1440" w:left="1440" w:header="567" w:footer="567" w:gutter="0"/>
          <w:pgNumType w:fmt="upperRoman" w:start="1"/>
          <w:cols w:space="720"/>
          <w:docGrid w:linePitch="299"/>
        </w:sectPr>
      </w:pPr>
    </w:p>
    <w:p w14:paraId="1F587CE7" w14:textId="77777777" w:rsidR="00280050" w:rsidRDefault="00280050"/>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0561C" w14:textId="77777777" w:rsidR="00A41839" w:rsidRDefault="00A41839" w:rsidP="001205B2">
      <w:pPr>
        <w:spacing w:after="0" w:line="240" w:lineRule="auto"/>
      </w:pPr>
      <w:r>
        <w:separator/>
      </w:r>
    </w:p>
  </w:endnote>
  <w:endnote w:type="continuationSeparator" w:id="0">
    <w:p w14:paraId="36111752" w14:textId="77777777" w:rsidR="00A41839" w:rsidRDefault="00A41839" w:rsidP="0012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515E" w14:textId="77777777" w:rsidR="001205B2" w:rsidRPr="006858E9" w:rsidRDefault="001205B2"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1DF7" w14:textId="77777777" w:rsidR="00A41839" w:rsidRDefault="00A41839" w:rsidP="001205B2">
      <w:pPr>
        <w:spacing w:after="0" w:line="240" w:lineRule="auto"/>
      </w:pPr>
      <w:r>
        <w:separator/>
      </w:r>
    </w:p>
  </w:footnote>
  <w:footnote w:type="continuationSeparator" w:id="0">
    <w:p w14:paraId="632E635E" w14:textId="77777777" w:rsidR="00A41839" w:rsidRDefault="00A41839" w:rsidP="001205B2">
      <w:pPr>
        <w:spacing w:after="0" w:line="240" w:lineRule="auto"/>
      </w:pPr>
      <w:r>
        <w:continuationSeparator/>
      </w:r>
    </w:p>
  </w:footnote>
  <w:footnote w:id="1">
    <w:p w14:paraId="03807969" w14:textId="77777777" w:rsidR="001205B2" w:rsidRPr="001205B2" w:rsidRDefault="001205B2" w:rsidP="001205B2">
      <w:pPr>
        <w:rPr>
          <w:rFonts w:ascii="Calibri" w:hAnsi="Calibri" w:cs="Calibri"/>
          <w:szCs w:val="22"/>
        </w:rPr>
      </w:pPr>
      <w:r w:rsidRPr="001205B2">
        <w:rPr>
          <w:rStyle w:val="FootnoteReference"/>
          <w:rFonts w:cs="Calibri"/>
          <w:szCs w:val="22"/>
        </w:rPr>
        <w:footnoteRef/>
      </w:r>
      <w:r w:rsidRPr="001205B2">
        <w:rPr>
          <w:rFonts w:ascii="Calibri" w:hAnsi="Calibri" w:cs="Calibri"/>
          <w:szCs w:val="22"/>
        </w:rPr>
        <w:t xml:space="preserve"> Original title: </w:t>
      </w:r>
      <w:r w:rsidRPr="001205B2">
        <w:rPr>
          <w:rFonts w:ascii="Calibri" w:hAnsi="Calibri" w:cs="Calibri"/>
          <w:i/>
          <w:iCs/>
          <w:color w:val="000000"/>
          <w:szCs w:val="22"/>
        </w:rPr>
        <w:t>Bacteriophages for treatment of mycobacterial infections under the STAMP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6597" w14:textId="330C3913" w:rsidR="001205B2" w:rsidRPr="003B2E3B" w:rsidRDefault="001205B2" w:rsidP="00DB3074">
    <w:pPr>
      <w:pBdr>
        <w:bottom w:val="single" w:sz="4" w:space="1" w:color="auto"/>
      </w:pBdr>
      <w:tabs>
        <w:tab w:val="right" w:pos="9072"/>
      </w:tabs>
      <w:ind w:right="-2"/>
    </w:pPr>
    <w:r w:rsidRPr="008C4920">
      <w:rPr>
        <w:sz w:val="16"/>
        <w:szCs w:val="16"/>
      </w:rPr>
      <w:t>DIR</w:t>
    </w:r>
    <w:r>
      <w:rPr>
        <w:sz w:val="16"/>
        <w:szCs w:val="16"/>
      </w:rPr>
      <w:t>-206</w:t>
    </w:r>
    <w:r w:rsidRPr="00192C82">
      <w:rPr>
        <w:color w:val="FF0000"/>
        <w:sz w:val="16"/>
        <w:szCs w:val="16"/>
      </w:rPr>
      <w:t xml:space="preserve"> </w:t>
    </w:r>
    <w:r w:rsidRPr="008C4920">
      <w:rPr>
        <w:sz w:val="16"/>
        <w:szCs w:val="16"/>
      </w:rPr>
      <w:t>– Risk Assessment and Risk Management Plan (</w:t>
    </w:r>
    <w:r>
      <w:rPr>
        <w:sz w:val="16"/>
        <w:szCs w:val="16"/>
      </w:rPr>
      <w:t>February 2025</w:t>
    </w:r>
    <w:r w:rsidRPr="008C4920">
      <w:rPr>
        <w:sz w:val="16"/>
        <w:szCs w:val="16"/>
      </w:rPr>
      <w:t>)</w:t>
    </w:r>
    <w:r>
      <w:rPr>
        <w:sz w:val="16"/>
        <w:szCs w:val="16"/>
      </w:rPr>
      <w:tab/>
    </w:r>
    <w:r w:rsidRPr="003B2E3B">
      <w:rPr>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805A9"/>
    <w:multiLevelType w:val="hybridMultilevel"/>
    <w:tmpl w:val="91281D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0490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B2"/>
    <w:rsid w:val="00096A00"/>
    <w:rsid w:val="001205B2"/>
    <w:rsid w:val="00280050"/>
    <w:rsid w:val="002F4D0C"/>
    <w:rsid w:val="00354CDA"/>
    <w:rsid w:val="005B1526"/>
    <w:rsid w:val="006431FC"/>
    <w:rsid w:val="007C1467"/>
    <w:rsid w:val="00A4183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6FD5"/>
  <w15:chartTrackingRefBased/>
  <w15:docId w15:val="{BAD9D00E-FDCE-4FBE-8634-0B85318C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5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5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05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05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05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05B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05B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5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5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05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05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05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05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05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0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5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5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05B2"/>
    <w:pPr>
      <w:spacing w:before="160"/>
      <w:jc w:val="center"/>
    </w:pPr>
    <w:rPr>
      <w:i/>
      <w:iCs/>
      <w:color w:val="404040" w:themeColor="text1" w:themeTint="BF"/>
    </w:rPr>
  </w:style>
  <w:style w:type="character" w:customStyle="1" w:styleId="QuoteChar">
    <w:name w:val="Quote Char"/>
    <w:basedOn w:val="DefaultParagraphFont"/>
    <w:link w:val="Quote"/>
    <w:uiPriority w:val="29"/>
    <w:rsid w:val="001205B2"/>
    <w:rPr>
      <w:i/>
      <w:iCs/>
      <w:color w:val="404040" w:themeColor="text1" w:themeTint="BF"/>
    </w:rPr>
  </w:style>
  <w:style w:type="paragraph" w:styleId="ListParagraph">
    <w:name w:val="List Paragraph"/>
    <w:basedOn w:val="Normal"/>
    <w:uiPriority w:val="34"/>
    <w:qFormat/>
    <w:rsid w:val="001205B2"/>
    <w:pPr>
      <w:ind w:left="720"/>
      <w:contextualSpacing/>
    </w:pPr>
  </w:style>
  <w:style w:type="character" w:styleId="IntenseEmphasis">
    <w:name w:val="Intense Emphasis"/>
    <w:basedOn w:val="DefaultParagraphFont"/>
    <w:uiPriority w:val="21"/>
    <w:qFormat/>
    <w:rsid w:val="001205B2"/>
    <w:rPr>
      <w:i/>
      <w:iCs/>
      <w:color w:val="0F4761" w:themeColor="accent1" w:themeShade="BF"/>
    </w:rPr>
  </w:style>
  <w:style w:type="paragraph" w:styleId="IntenseQuote">
    <w:name w:val="Intense Quote"/>
    <w:basedOn w:val="Normal"/>
    <w:next w:val="Normal"/>
    <w:link w:val="IntenseQuoteChar"/>
    <w:uiPriority w:val="30"/>
    <w:qFormat/>
    <w:rsid w:val="00120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5B2"/>
    <w:rPr>
      <w:i/>
      <w:iCs/>
      <w:color w:val="0F4761" w:themeColor="accent1" w:themeShade="BF"/>
    </w:rPr>
  </w:style>
  <w:style w:type="character" w:styleId="IntenseReference">
    <w:name w:val="Intense Reference"/>
    <w:basedOn w:val="DefaultParagraphFont"/>
    <w:uiPriority w:val="32"/>
    <w:qFormat/>
    <w:rsid w:val="001205B2"/>
    <w:rPr>
      <w:b/>
      <w:bCs/>
      <w:smallCaps/>
      <w:color w:val="0F4761" w:themeColor="accent1" w:themeShade="BF"/>
      <w:spacing w:val="5"/>
    </w:rPr>
  </w:style>
  <w:style w:type="character" w:styleId="FootnoteReference">
    <w:name w:val="footnote reference"/>
    <w:uiPriority w:val="4"/>
    <w:rsid w:val="001205B2"/>
    <w:rPr>
      <w:vertAlign w:val="superscript"/>
    </w:rPr>
  </w:style>
  <w:style w:type="paragraph" w:styleId="Header">
    <w:name w:val="header"/>
    <w:basedOn w:val="Normal"/>
    <w:link w:val="HeaderChar"/>
    <w:uiPriority w:val="99"/>
    <w:unhideWhenUsed/>
    <w:rsid w:val="00120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B2"/>
  </w:style>
  <w:style w:type="paragraph" w:styleId="Footer">
    <w:name w:val="footer"/>
    <w:basedOn w:val="Normal"/>
    <w:link w:val="FooterChar"/>
    <w:uiPriority w:val="99"/>
    <w:unhideWhenUsed/>
    <w:rsid w:val="00120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206 - Summary of Risk Assessment and Risk Management Plan</dc:title>
  <dc:subject/>
  <dc:creator>OGTR.Voicemail@health.gov.au</dc:creator>
  <cp:keywords/>
  <dc:description/>
  <cp:lastModifiedBy>SMITH, Justine</cp:lastModifiedBy>
  <cp:revision>2</cp:revision>
  <dcterms:created xsi:type="dcterms:W3CDTF">2025-02-13T22:39:00Z</dcterms:created>
  <dcterms:modified xsi:type="dcterms:W3CDTF">2025-02-13T22:39:00Z</dcterms:modified>
</cp:coreProperties>
</file>