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9C142" w14:textId="45136017" w:rsidR="00B255AC" w:rsidRPr="00B36555" w:rsidRDefault="00B255AC" w:rsidP="00041157">
      <w:pPr>
        <w:spacing w:before="0" w:after="0"/>
        <w:jc w:val="center"/>
        <w:rPr>
          <w:rFonts w:eastAsia="SimSun" w:cs="Times New Roman"/>
          <w:b/>
          <w:sz w:val="36"/>
          <w:szCs w:val="36"/>
        </w:rPr>
      </w:pPr>
      <w:bookmarkStart w:id="0" w:name="_Toc355007993"/>
      <w:bookmarkStart w:id="1" w:name="_Toc474484240"/>
      <w:bookmarkStart w:id="2" w:name="_Toc183694130"/>
      <w:r w:rsidRPr="00B36555">
        <w:rPr>
          <w:rFonts w:eastAsia="SimSun" w:cs="Times New Roman"/>
          <w:b/>
          <w:sz w:val="36"/>
          <w:szCs w:val="36"/>
        </w:rPr>
        <w:t>Summary of the Risk Assessment and Risk Management Plan</w:t>
      </w:r>
      <w:bookmarkEnd w:id="0"/>
      <w:bookmarkEnd w:id="1"/>
      <w:bookmarkEnd w:id="2"/>
    </w:p>
    <w:p w14:paraId="09FAC92B" w14:textId="2F272957" w:rsidR="00B255AC" w:rsidRPr="00041157" w:rsidRDefault="00041157" w:rsidP="00041157">
      <w:pPr>
        <w:spacing w:before="0" w:after="0"/>
        <w:jc w:val="center"/>
        <w:rPr>
          <w:rFonts w:eastAsia="SimSun" w:cs="Times New Roman"/>
          <w:b/>
          <w:bCs/>
          <w:sz w:val="36"/>
          <w:szCs w:val="36"/>
        </w:rPr>
      </w:pPr>
      <w:r>
        <w:rPr>
          <w:rFonts w:eastAsia="SimSun" w:cs="Times New Roman"/>
          <w:sz w:val="36"/>
          <w:szCs w:val="36"/>
        </w:rPr>
        <w:t xml:space="preserve">   </w:t>
      </w:r>
      <w:r w:rsidR="00B255AC" w:rsidRPr="00041157">
        <w:rPr>
          <w:rFonts w:eastAsia="SimSun" w:cs="Times New Roman"/>
          <w:b/>
          <w:bCs/>
          <w:sz w:val="36"/>
          <w:szCs w:val="36"/>
        </w:rPr>
        <w:t>for</w:t>
      </w:r>
    </w:p>
    <w:p w14:paraId="399C6C1A" w14:textId="648FE589" w:rsidR="00B255AC" w:rsidRDefault="008B1B3D" w:rsidP="00041157">
      <w:pPr>
        <w:spacing w:before="0" w:after="0"/>
        <w:jc w:val="center"/>
        <w:rPr>
          <w:rFonts w:eastAsia="SimSun" w:cs="Times New Roman"/>
          <w:sz w:val="40"/>
          <w:szCs w:val="40"/>
        </w:rPr>
      </w:pPr>
      <w:r w:rsidRPr="00B36555">
        <w:rPr>
          <w:rFonts w:eastAsia="SimSun" w:cs="Times New Roman"/>
          <w:b/>
          <w:sz w:val="36"/>
          <w:szCs w:val="36"/>
        </w:rPr>
        <w:t xml:space="preserve">Licence </w:t>
      </w:r>
      <w:r w:rsidR="00B36555" w:rsidRPr="00B36555">
        <w:rPr>
          <w:rFonts w:eastAsia="SimSun" w:cs="Times New Roman"/>
          <w:b/>
          <w:sz w:val="36"/>
          <w:szCs w:val="36"/>
        </w:rPr>
        <w:t>Application</w:t>
      </w:r>
      <w:r w:rsidRPr="00B36555">
        <w:rPr>
          <w:rFonts w:eastAsia="SimSun" w:cs="Times New Roman"/>
          <w:b/>
          <w:sz w:val="36"/>
          <w:szCs w:val="36"/>
        </w:rPr>
        <w:t xml:space="preserve"> </w:t>
      </w:r>
      <w:r w:rsidR="00041157">
        <w:rPr>
          <w:rFonts w:eastAsia="SimSun" w:cs="Times New Roman"/>
          <w:b/>
          <w:sz w:val="36"/>
          <w:szCs w:val="36"/>
        </w:rPr>
        <w:t xml:space="preserve">No. </w:t>
      </w:r>
      <w:r w:rsidRPr="00B36555">
        <w:rPr>
          <w:rFonts w:eastAsia="SimSun" w:cs="Times New Roman"/>
          <w:b/>
          <w:sz w:val="36"/>
          <w:szCs w:val="36"/>
        </w:rPr>
        <w:t>DIR 210</w:t>
      </w:r>
      <w:r>
        <w:rPr>
          <w:rFonts w:eastAsia="SimSun" w:cs="Times New Roman"/>
          <w:b/>
          <w:sz w:val="48"/>
          <w:szCs w:val="48"/>
        </w:rPr>
        <w:t xml:space="preserve"> </w:t>
      </w:r>
    </w:p>
    <w:p w14:paraId="12526331" w14:textId="77777777" w:rsidR="00B255AC" w:rsidRPr="00B255AC" w:rsidRDefault="00B255AC" w:rsidP="00B255AC">
      <w:pPr>
        <w:keepNext/>
        <w:keepLines/>
        <w:outlineLvl w:val="0"/>
        <w:rPr>
          <w:rFonts w:eastAsia="Times New Roman" w:cs="Times New Roman"/>
          <w:sz w:val="28"/>
          <w:szCs w:val="28"/>
        </w:rPr>
      </w:pPr>
      <w:bookmarkStart w:id="3" w:name="_Toc427320058"/>
      <w:bookmarkStart w:id="4" w:name="_Toc209859548"/>
      <w:bookmarkStart w:id="5" w:name="_Toc274904727"/>
      <w:bookmarkStart w:id="6" w:name="_Toc291151777"/>
      <w:r w:rsidRPr="00B255AC">
        <w:rPr>
          <w:rFonts w:eastAsia="Times New Roman" w:cs="Times New Roman"/>
          <w:b/>
          <w:bCs/>
          <w:i/>
          <w:sz w:val="28"/>
          <w:szCs w:val="28"/>
        </w:rPr>
        <w:t>Decision</w:t>
      </w:r>
    </w:p>
    <w:p w14:paraId="7DB415E7" w14:textId="77777777" w:rsidR="00B255AC" w:rsidRPr="00B255AC" w:rsidRDefault="00B255AC" w:rsidP="00B255AC">
      <w:pPr>
        <w:spacing w:before="120" w:after="120"/>
        <w:ind w:left="142" w:firstLine="0"/>
        <w:rPr>
          <w:rFonts w:eastAsia="Calibri" w:cs="Times New Roman"/>
          <w:szCs w:val="22"/>
        </w:rPr>
      </w:pPr>
      <w:r w:rsidRPr="00B255AC">
        <w:rPr>
          <w:rFonts w:eastAsia="Calibri" w:cs="Times New Roman"/>
          <w:szCs w:val="22"/>
        </w:rPr>
        <w:t>Influenza is an acute respiratory viral infection caused by influenza A or B viruses, with up to 650,000 deaths worldwide annually. For most healthy adults, seasonal influenza is a self-limited illness from which complete recovery is expected. Understanding the physiological and immunological responses of humans to these viruses is critical to develop vaccines and antivirals drugs for the control of influenza.</w:t>
      </w:r>
    </w:p>
    <w:p w14:paraId="00B94D96" w14:textId="77777777" w:rsidR="00B255AC" w:rsidRPr="00B255AC" w:rsidRDefault="00B255AC" w:rsidP="00B255AC">
      <w:pPr>
        <w:spacing w:before="120" w:after="120"/>
        <w:ind w:left="142" w:firstLine="0"/>
        <w:rPr>
          <w:rFonts w:eastAsia="Calibri" w:cs="Times New Roman"/>
          <w:szCs w:val="22"/>
        </w:rPr>
      </w:pPr>
      <w:r w:rsidRPr="00B255AC">
        <w:rPr>
          <w:rFonts w:eastAsia="Calibri" w:cs="Times New Roman"/>
          <w:szCs w:val="22"/>
        </w:rPr>
        <w:t xml:space="preserve">Doherty Clinical Trials Ltd (DCT) is seeking approval to use genetically modified (GM) influenza viruses </w:t>
      </w:r>
      <w:proofErr w:type="gramStart"/>
      <w:r w:rsidRPr="00B255AC">
        <w:rPr>
          <w:rFonts w:eastAsia="Calibri" w:cs="Times New Roman"/>
          <w:szCs w:val="22"/>
        </w:rPr>
        <w:t>similar to</w:t>
      </w:r>
      <w:proofErr w:type="gramEnd"/>
      <w:r w:rsidRPr="00B255AC">
        <w:rPr>
          <w:rFonts w:eastAsia="Calibri" w:cs="Times New Roman"/>
          <w:szCs w:val="22"/>
        </w:rPr>
        <w:t xml:space="preserve"> naturally circulating influenza viruses to better understand influenza infection and test the efficacy of potential vaccines and therapeutic drugs. The GM influenza viruses are made using gene technology and are considered GMOs. Healthy volunteers will receive a dose of the GM influenza viruses within a clinical facility in combination with or without a potential vaccine or therapeutic drug. The study will be conducted under strict ethical guidelines and safety protocols in an approved clinical trial facility, considering OGTR and good clinical practice guidelines. In addition, the applicant has proposed control strategies to restrict the spread and persistence of the GMO(s) in the environment. </w:t>
      </w:r>
    </w:p>
    <w:p w14:paraId="5FE220F9" w14:textId="77777777" w:rsidR="00B255AC" w:rsidRPr="00B255AC" w:rsidRDefault="00B255AC" w:rsidP="00B255AC">
      <w:pPr>
        <w:spacing w:before="120" w:after="120"/>
        <w:ind w:left="142" w:firstLine="0"/>
        <w:rPr>
          <w:rFonts w:eastAsia="Calibri" w:cs="Times New Roman"/>
          <w:szCs w:val="22"/>
        </w:rPr>
      </w:pPr>
      <w:r w:rsidRPr="00B255AC">
        <w:rPr>
          <w:rFonts w:eastAsia="Calibri" w:cs="Times New Roman"/>
          <w:szCs w:val="22"/>
        </w:rPr>
        <w:t xml:space="preserve">Clinical trials in Australia are conducted in accordance with requirements of the </w:t>
      </w:r>
      <w:r w:rsidRPr="00B255AC">
        <w:rPr>
          <w:rFonts w:eastAsia="Calibri" w:cs="Times New Roman"/>
          <w:i/>
          <w:iCs/>
          <w:szCs w:val="22"/>
        </w:rPr>
        <w:t>Therapeutic Goods Act 1989,</w:t>
      </w:r>
      <w:r w:rsidRPr="00B255AC">
        <w:rPr>
          <w:rFonts w:eastAsia="Calibri" w:cs="Times New Roman"/>
          <w:szCs w:val="22"/>
        </w:rPr>
        <w:t xml:space="preserve"> which is administered by the Therapeutic Goods Administration (TGA). Therefore, in addition to approval by the Regulator, DCT would also require authorisation from TGA before the trial commences. Clinical trials conducted in Australia must also be conducted in accordance with the </w:t>
      </w:r>
      <w:hyperlink r:id="rId7" w:history="1">
        <w:r w:rsidRPr="00B255AC">
          <w:rPr>
            <w:rFonts w:eastAsia="Calibri" w:cs="Times New Roman"/>
            <w:szCs w:val="22"/>
          </w:rPr>
          <w:t>National Statement on Ethical Conduct in Human Research</w:t>
        </w:r>
      </w:hyperlink>
      <w:r w:rsidRPr="00B255AC">
        <w:rPr>
          <w:rFonts w:eastAsia="Calibri" w:cs="Times New Roman"/>
          <w:szCs w:val="22"/>
        </w:rPr>
        <w:t xml:space="preserve"> and with the </w:t>
      </w:r>
      <w:hyperlink r:id="rId8" w:history="1">
        <w:r w:rsidRPr="00B255AC">
          <w:rPr>
            <w:rFonts w:eastAsia="Calibri" w:cs="Times New Roman"/>
            <w:szCs w:val="22"/>
          </w:rPr>
          <w:t>Guidelines for Good Clinical Practice</w:t>
        </w:r>
      </w:hyperlink>
      <w:r w:rsidRPr="00B255AC">
        <w:rPr>
          <w:rFonts w:eastAsia="Calibri" w:cs="Times New Roman"/>
          <w:szCs w:val="22"/>
        </w:rPr>
        <w:t xml:space="preserve"> of the International Council for Harmonisation of Technical Requirements for Registration of Pharmaceuticals for Human Use. DCT would also require approval from the Department of Agriculture, Fisheries and Forestry for import of the GMOs.</w:t>
      </w:r>
    </w:p>
    <w:p w14:paraId="0117D41E" w14:textId="77777777" w:rsidR="00B255AC" w:rsidRPr="00B255AC" w:rsidRDefault="00B255AC" w:rsidP="00B255AC">
      <w:pPr>
        <w:spacing w:before="120" w:after="120"/>
        <w:ind w:left="142" w:firstLine="0"/>
        <w:rPr>
          <w:rFonts w:eastAsia="Calibri" w:cs="Times New Roman"/>
          <w:szCs w:val="22"/>
        </w:rPr>
      </w:pPr>
      <w:r w:rsidRPr="00B255AC">
        <w:rPr>
          <w:rFonts w:eastAsia="Calibri" w:cs="Times New Roman"/>
          <w:szCs w:val="22"/>
        </w:rPr>
        <w:t xml:space="preserve">The Gene Technology Regulator (the Regulator) has decided to issue a licence for this application for the intentional release of a genetically modified organism (GMO) into the environment. A Risk Assessment and Risk Management Plan (RARMP) for this application has been prepared by the Regulator in accordance with the </w:t>
      </w:r>
      <w:r w:rsidRPr="00B255AC">
        <w:rPr>
          <w:rFonts w:eastAsia="Calibri" w:cs="Times New Roman"/>
          <w:i/>
          <w:iCs/>
          <w:szCs w:val="22"/>
        </w:rPr>
        <w:t>Gene Technology Act 2000</w:t>
      </w:r>
      <w:r w:rsidRPr="00B255AC">
        <w:rPr>
          <w:rFonts w:eastAsia="Calibri" w:cs="Times New Roman"/>
          <w:szCs w:val="22"/>
        </w:rPr>
        <w:t xml:space="preserve"> (the Act) and corresponding state and territory legislation, and finalised following consultation with a wide range of experts, agencies and authorities, and the public. </w:t>
      </w:r>
    </w:p>
    <w:p w14:paraId="3FFF61A6" w14:textId="3C52DA36" w:rsidR="00B255AC" w:rsidRPr="00B255AC" w:rsidRDefault="00B255AC" w:rsidP="00B255AC">
      <w:pPr>
        <w:spacing w:before="120" w:after="120"/>
        <w:ind w:left="142" w:firstLine="0"/>
        <w:rPr>
          <w:rFonts w:eastAsia="Calibri" w:cs="Times New Roman"/>
          <w:szCs w:val="22"/>
        </w:rPr>
      </w:pPr>
      <w:r w:rsidRPr="00B255AC">
        <w:rPr>
          <w:rFonts w:eastAsia="Calibri" w:cs="Times New Roman"/>
          <w:szCs w:val="22"/>
        </w:rPr>
        <w:t>The RARMP concluded that the proposed clinical trial poses negligible to moderate risk to human health and safety and the environment</w:t>
      </w:r>
      <w:r w:rsidR="0074191B">
        <w:rPr>
          <w:rFonts w:eastAsia="Calibri" w:cs="Times New Roman"/>
          <w:szCs w:val="22"/>
        </w:rPr>
        <w:t>,</w:t>
      </w:r>
      <w:r w:rsidRPr="00B255AC">
        <w:rPr>
          <w:rFonts w:eastAsia="Calibri" w:cs="Times New Roman"/>
          <w:szCs w:val="22"/>
        </w:rPr>
        <w:t xml:space="preserve"> </w:t>
      </w:r>
      <w:r w:rsidR="0074191B" w:rsidRPr="0074191B">
        <w:rPr>
          <w:rFonts w:eastAsia="Calibri" w:cs="Times New Roman"/>
          <w:szCs w:val="22"/>
        </w:rPr>
        <w:t xml:space="preserve">based on the current pathogenicity of circulating </w:t>
      </w:r>
      <w:proofErr w:type="spellStart"/>
      <w:r w:rsidR="0074191B" w:rsidRPr="0074191B">
        <w:rPr>
          <w:rFonts w:eastAsia="Calibri" w:cs="Times New Roman"/>
          <w:szCs w:val="22"/>
        </w:rPr>
        <w:t>influenza</w:t>
      </w:r>
      <w:r w:rsidRPr="00B255AC">
        <w:rPr>
          <w:rFonts w:eastAsia="Calibri" w:cs="Times New Roman"/>
          <w:szCs w:val="22"/>
        </w:rPr>
        <w:t>and</w:t>
      </w:r>
      <w:proofErr w:type="spellEnd"/>
      <w:r w:rsidRPr="00B255AC">
        <w:rPr>
          <w:rFonts w:eastAsia="Calibri" w:cs="Times New Roman"/>
          <w:szCs w:val="22"/>
        </w:rPr>
        <w:t xml:space="preserve"> that any risks posed by the dealings can be managed by imposing conditions on the release.</w:t>
      </w:r>
    </w:p>
    <w:p w14:paraId="4E924DBC" w14:textId="77777777" w:rsidR="00041157" w:rsidRDefault="00041157" w:rsidP="00B255AC">
      <w:pPr>
        <w:keepNext/>
        <w:keepLines/>
        <w:outlineLvl w:val="0"/>
        <w:rPr>
          <w:rFonts w:eastAsia="Times New Roman" w:cs="Times New Roman"/>
          <w:b/>
          <w:bCs/>
          <w:i/>
          <w:sz w:val="28"/>
          <w:szCs w:val="28"/>
        </w:rPr>
      </w:pPr>
      <w:bookmarkStart w:id="7" w:name="_Toc183694132"/>
    </w:p>
    <w:p w14:paraId="4351E649" w14:textId="0C69B6B1" w:rsidR="00B255AC" w:rsidRPr="00B255AC" w:rsidRDefault="00B255AC" w:rsidP="00B255AC">
      <w:pPr>
        <w:keepNext/>
        <w:keepLines/>
        <w:outlineLvl w:val="0"/>
        <w:rPr>
          <w:rFonts w:eastAsia="Times New Roman" w:cs="Times New Roman"/>
          <w:b/>
          <w:bCs/>
          <w:i/>
          <w:sz w:val="28"/>
          <w:szCs w:val="28"/>
        </w:rPr>
      </w:pPr>
      <w:r w:rsidRPr="00B255AC">
        <w:rPr>
          <w:rFonts w:eastAsia="Times New Roman" w:cs="Times New Roman"/>
          <w:b/>
          <w:bCs/>
          <w:i/>
          <w:sz w:val="28"/>
          <w:szCs w:val="28"/>
        </w:rPr>
        <w:t>The application</w:t>
      </w:r>
      <w:bookmarkEnd w:id="3"/>
      <w:bookmarkEnd w:id="7"/>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2122"/>
        <w:gridCol w:w="7078"/>
      </w:tblGrid>
      <w:tr w:rsidR="00B255AC" w:rsidRPr="00B255AC" w14:paraId="394879B3" w14:textId="77777777" w:rsidTr="0003379D">
        <w:trPr>
          <w:jc w:val="center"/>
        </w:trPr>
        <w:tc>
          <w:tcPr>
            <w:tcW w:w="2122" w:type="dxa"/>
          </w:tcPr>
          <w:p w14:paraId="37FC5536" w14:textId="77777777" w:rsidR="00B255AC" w:rsidRPr="00B255AC" w:rsidRDefault="00B255AC" w:rsidP="00B255AC">
            <w:pPr>
              <w:tabs>
                <w:tab w:val="right" w:leader="dot" w:pos="9356"/>
              </w:tabs>
              <w:spacing w:before="60" w:after="60"/>
              <w:ind w:left="142" w:firstLine="0"/>
              <w:rPr>
                <w:rFonts w:eastAsia="Times New Roman" w:cs="Arial Narrow"/>
                <w:b/>
                <w:bCs/>
                <w:i/>
                <w:szCs w:val="22"/>
              </w:rPr>
            </w:pPr>
            <w:r w:rsidRPr="00B255AC">
              <w:rPr>
                <w:rFonts w:eastAsia="Times New Roman" w:cs="Arial Narrow"/>
                <w:b/>
                <w:bCs/>
                <w:i/>
                <w:szCs w:val="22"/>
              </w:rPr>
              <w:t>Project Title</w:t>
            </w:r>
          </w:p>
        </w:tc>
        <w:tc>
          <w:tcPr>
            <w:tcW w:w="7078" w:type="dxa"/>
          </w:tcPr>
          <w:p w14:paraId="665DD886" w14:textId="77777777" w:rsidR="00B255AC" w:rsidRPr="00B255AC" w:rsidRDefault="00B255AC" w:rsidP="00B255AC">
            <w:pPr>
              <w:autoSpaceDE w:val="0"/>
              <w:autoSpaceDN w:val="0"/>
              <w:adjustRightInd w:val="0"/>
              <w:spacing w:before="0" w:after="0"/>
              <w:ind w:left="142" w:firstLine="0"/>
              <w:rPr>
                <w:rFonts w:ascii="AAAAAQ+Calibri" w:eastAsia="Calibri" w:hAnsi="AAAAAQ+Calibri" w:cs="AAAAAQ+Calibri"/>
                <w:color w:val="000000"/>
                <w:szCs w:val="22"/>
                <w:lang w:eastAsia="en-US"/>
              </w:rPr>
            </w:pPr>
            <w:r w:rsidRPr="00B255AC">
              <w:rPr>
                <w:rFonts w:ascii="AAAAAQ+Calibri" w:eastAsia="Calibri" w:hAnsi="AAAAAQ+Calibri" w:cs="AAAAAQ+Calibri"/>
                <w:color w:val="000000"/>
                <w:szCs w:val="22"/>
                <w:lang w:eastAsia="en-US"/>
              </w:rPr>
              <w:t xml:space="preserve">Clinical trials of controlled infection with </w:t>
            </w:r>
            <w:r w:rsidRPr="00B255AC">
              <w:rPr>
                <w:rFonts w:ascii="AAAAAQ+Calibri" w:eastAsia="Calibri" w:hAnsi="AAAAAQ+Calibri" w:cs="Times New Roman"/>
                <w:lang w:eastAsia="en-US"/>
              </w:rPr>
              <w:t>seasonal influenza virus</w:t>
            </w:r>
            <w:r w:rsidRPr="00B255AC">
              <w:rPr>
                <w:rFonts w:eastAsia="Calibri" w:cs="Times New Roman"/>
              </w:rPr>
              <w:t>es</w:t>
            </w:r>
          </w:p>
        </w:tc>
      </w:tr>
      <w:tr w:rsidR="00B255AC" w:rsidRPr="00B255AC" w14:paraId="0C9E581C" w14:textId="77777777" w:rsidTr="0003379D">
        <w:trPr>
          <w:trHeight w:val="346"/>
          <w:jc w:val="center"/>
        </w:trPr>
        <w:tc>
          <w:tcPr>
            <w:tcW w:w="2122" w:type="dxa"/>
          </w:tcPr>
          <w:p w14:paraId="2C71ACE2" w14:textId="77777777" w:rsidR="00B255AC" w:rsidRPr="00B255AC" w:rsidRDefault="00B255AC" w:rsidP="00B255AC">
            <w:pPr>
              <w:keepLines/>
              <w:widowControl w:val="0"/>
              <w:tabs>
                <w:tab w:val="right" w:leader="dot" w:pos="9356"/>
              </w:tabs>
              <w:spacing w:before="40" w:after="40"/>
              <w:ind w:left="142" w:firstLine="0"/>
              <w:rPr>
                <w:rFonts w:eastAsia="Times New Roman" w:cs="Arial Narrow"/>
                <w:b/>
                <w:bCs/>
                <w:i/>
                <w:szCs w:val="22"/>
              </w:rPr>
            </w:pPr>
            <w:r w:rsidRPr="00B255AC">
              <w:rPr>
                <w:rFonts w:eastAsia="Times New Roman" w:cs="Arial Narrow"/>
                <w:b/>
                <w:bCs/>
                <w:i/>
                <w:szCs w:val="22"/>
              </w:rPr>
              <w:t>Parent organism</w:t>
            </w:r>
          </w:p>
        </w:tc>
        <w:tc>
          <w:tcPr>
            <w:tcW w:w="7078" w:type="dxa"/>
          </w:tcPr>
          <w:p w14:paraId="20022050" w14:textId="77777777" w:rsidR="00B255AC" w:rsidRPr="00B255AC" w:rsidRDefault="00B255AC" w:rsidP="00B255AC">
            <w:pPr>
              <w:keepLines/>
              <w:widowControl w:val="0"/>
              <w:tabs>
                <w:tab w:val="right" w:leader="dot" w:pos="9356"/>
              </w:tabs>
              <w:spacing w:before="60" w:after="60"/>
              <w:ind w:left="142" w:firstLine="0"/>
              <w:rPr>
                <w:rFonts w:eastAsia="Times New Roman" w:cs="Times New Roman"/>
                <w:szCs w:val="22"/>
              </w:rPr>
            </w:pPr>
            <w:r w:rsidRPr="00B255AC">
              <w:rPr>
                <w:rFonts w:eastAsia="Times New Roman" w:cs="Calibri"/>
                <w:color w:val="000000"/>
                <w:szCs w:val="22"/>
              </w:rPr>
              <w:t>Seasonal Human influenza Virus A and B (including H1N1 and H3N2)</w:t>
            </w:r>
          </w:p>
        </w:tc>
      </w:tr>
      <w:tr w:rsidR="00B255AC" w:rsidRPr="00B255AC" w14:paraId="6B0A42C6" w14:textId="77777777" w:rsidTr="0003379D">
        <w:trPr>
          <w:trHeight w:val="346"/>
          <w:jc w:val="center"/>
        </w:trPr>
        <w:tc>
          <w:tcPr>
            <w:tcW w:w="2122" w:type="dxa"/>
          </w:tcPr>
          <w:p w14:paraId="31A6E2BE" w14:textId="77777777" w:rsidR="00B255AC" w:rsidRPr="00B255AC" w:rsidRDefault="00B255AC" w:rsidP="00B255AC">
            <w:pPr>
              <w:keepLines/>
              <w:widowControl w:val="0"/>
              <w:tabs>
                <w:tab w:val="right" w:leader="dot" w:pos="9356"/>
              </w:tabs>
              <w:spacing w:before="40" w:after="40"/>
              <w:ind w:left="142" w:firstLine="0"/>
              <w:rPr>
                <w:rFonts w:eastAsia="Times New Roman" w:cs="Arial Narrow"/>
                <w:b/>
                <w:bCs/>
                <w:i/>
                <w:szCs w:val="22"/>
              </w:rPr>
            </w:pPr>
            <w:r w:rsidRPr="00B255AC">
              <w:rPr>
                <w:rFonts w:eastAsia="Times New Roman" w:cs="Calibri"/>
                <w:b/>
                <w:bCs/>
                <w:i/>
                <w:szCs w:val="22"/>
              </w:rPr>
              <w:t>Principal purpose</w:t>
            </w:r>
          </w:p>
        </w:tc>
        <w:tc>
          <w:tcPr>
            <w:tcW w:w="7078" w:type="dxa"/>
          </w:tcPr>
          <w:p w14:paraId="6A55722E" w14:textId="77777777" w:rsidR="00B255AC" w:rsidRPr="00B255AC" w:rsidRDefault="00B255AC" w:rsidP="00B255AC">
            <w:pPr>
              <w:keepLines/>
              <w:widowControl w:val="0"/>
              <w:tabs>
                <w:tab w:val="right" w:leader="dot" w:pos="9356"/>
              </w:tabs>
              <w:spacing w:before="60" w:after="60"/>
              <w:ind w:left="142" w:firstLine="0"/>
              <w:rPr>
                <w:rFonts w:eastAsia="Times New Roman" w:cs="Calibri"/>
                <w:szCs w:val="22"/>
              </w:rPr>
            </w:pPr>
            <w:r w:rsidRPr="00B255AC">
              <w:rPr>
                <w:rFonts w:eastAsia="Times New Roman" w:cs="Calibri"/>
                <w:szCs w:val="22"/>
              </w:rPr>
              <w:t>The initial aim is to evaluate the safety and infectivity of recombinant seasonal human influenza viruses in healthy volunteers. These GM viruses will then be used to assess the effectiveness of therapeutic drugs or vaccine candidates</w:t>
            </w:r>
            <w:r w:rsidRPr="00B255AC">
              <w:rPr>
                <w:rFonts w:eastAsia="Times New Roman" w:cs="Arial"/>
                <w:szCs w:val="22"/>
              </w:rPr>
              <w:t xml:space="preserve"> to prevent and control influenza infection.</w:t>
            </w:r>
          </w:p>
        </w:tc>
      </w:tr>
      <w:tr w:rsidR="00B255AC" w:rsidRPr="00B255AC" w14:paraId="679AD552" w14:textId="77777777" w:rsidTr="0003379D">
        <w:trPr>
          <w:trHeight w:val="853"/>
          <w:jc w:val="center"/>
        </w:trPr>
        <w:tc>
          <w:tcPr>
            <w:tcW w:w="2122" w:type="dxa"/>
          </w:tcPr>
          <w:p w14:paraId="03B08DA2" w14:textId="77777777" w:rsidR="00B255AC" w:rsidRPr="00B255AC" w:rsidRDefault="00B255AC" w:rsidP="00B255AC">
            <w:pPr>
              <w:widowControl w:val="0"/>
              <w:tabs>
                <w:tab w:val="right" w:leader="dot" w:pos="9356"/>
              </w:tabs>
              <w:spacing w:before="40" w:after="40"/>
              <w:ind w:left="142" w:firstLine="0"/>
              <w:rPr>
                <w:rFonts w:eastAsia="Times New Roman" w:cs="Arial Narrow"/>
                <w:bCs/>
                <w:i/>
                <w:szCs w:val="22"/>
              </w:rPr>
            </w:pPr>
            <w:r w:rsidRPr="00B255AC">
              <w:rPr>
                <w:rFonts w:eastAsia="Times New Roman" w:cs="Arial Narrow"/>
                <w:b/>
                <w:bCs/>
                <w:i/>
                <w:szCs w:val="22"/>
              </w:rPr>
              <w:t>Genetic modifications</w:t>
            </w:r>
          </w:p>
        </w:tc>
        <w:tc>
          <w:tcPr>
            <w:tcW w:w="7078" w:type="dxa"/>
          </w:tcPr>
          <w:p w14:paraId="27364251" w14:textId="77777777" w:rsidR="00B255AC" w:rsidRPr="00B255AC" w:rsidRDefault="00B255AC" w:rsidP="00B255AC">
            <w:pPr>
              <w:widowControl w:val="0"/>
              <w:tabs>
                <w:tab w:val="right" w:leader="dot" w:pos="9356"/>
              </w:tabs>
              <w:spacing w:before="60" w:after="60"/>
              <w:ind w:left="142" w:firstLine="0"/>
              <w:jc w:val="both"/>
              <w:rPr>
                <w:rFonts w:eastAsia="Times New Roman" w:cs="Times New Roman"/>
                <w:szCs w:val="22"/>
              </w:rPr>
            </w:pPr>
            <w:r w:rsidRPr="00B255AC">
              <w:rPr>
                <w:rFonts w:eastAsia="Times New Roman" w:cs="Calibri"/>
                <w:color w:val="000000"/>
                <w:szCs w:val="22"/>
              </w:rPr>
              <w:t xml:space="preserve">Recombinant influenza virus A and B produced using gene technology (reverse genetics) </w:t>
            </w:r>
            <w:proofErr w:type="gramStart"/>
            <w:r w:rsidRPr="00B255AC">
              <w:rPr>
                <w:rFonts w:eastAsia="Times New Roman" w:cs="Calibri"/>
                <w:color w:val="000000"/>
                <w:szCs w:val="22"/>
              </w:rPr>
              <w:t>similar to</w:t>
            </w:r>
            <w:proofErr w:type="gramEnd"/>
            <w:r w:rsidRPr="00B255AC">
              <w:rPr>
                <w:rFonts w:eastAsia="Times New Roman" w:cs="Calibri"/>
                <w:color w:val="000000"/>
                <w:szCs w:val="22"/>
              </w:rPr>
              <w:t xml:space="preserve"> naturally circulating strains of wild-type seasonal influenza</w:t>
            </w:r>
          </w:p>
        </w:tc>
      </w:tr>
      <w:tr w:rsidR="00B255AC" w:rsidRPr="00B255AC" w14:paraId="3F376F0F" w14:textId="77777777" w:rsidTr="0003379D">
        <w:trPr>
          <w:trHeight w:val="781"/>
          <w:jc w:val="center"/>
        </w:trPr>
        <w:tc>
          <w:tcPr>
            <w:tcW w:w="2122" w:type="dxa"/>
          </w:tcPr>
          <w:p w14:paraId="39F697F6" w14:textId="77777777" w:rsidR="00B255AC" w:rsidRPr="00B255AC" w:rsidRDefault="00B255AC" w:rsidP="00B255AC">
            <w:pPr>
              <w:widowControl w:val="0"/>
              <w:tabs>
                <w:tab w:val="right" w:leader="dot" w:pos="9356"/>
              </w:tabs>
              <w:spacing w:before="40" w:after="40"/>
              <w:ind w:left="142" w:firstLine="0"/>
              <w:rPr>
                <w:rFonts w:eastAsia="Times New Roman" w:cs="Arial Narrow"/>
                <w:b/>
                <w:bCs/>
                <w:i/>
                <w:szCs w:val="22"/>
              </w:rPr>
            </w:pPr>
            <w:r w:rsidRPr="00B255AC">
              <w:rPr>
                <w:rFonts w:eastAsia="Times New Roman" w:cs="Arial Narrow"/>
                <w:b/>
                <w:bCs/>
                <w:i/>
                <w:szCs w:val="22"/>
              </w:rPr>
              <w:t>Previous clinical trials</w:t>
            </w:r>
          </w:p>
        </w:tc>
        <w:tc>
          <w:tcPr>
            <w:tcW w:w="7078" w:type="dxa"/>
          </w:tcPr>
          <w:p w14:paraId="443084CB" w14:textId="77777777" w:rsidR="00B255AC" w:rsidRPr="00B255AC" w:rsidRDefault="00B255AC" w:rsidP="00B255AC">
            <w:pPr>
              <w:keepNext/>
              <w:widowControl w:val="0"/>
              <w:tabs>
                <w:tab w:val="right" w:leader="dot" w:pos="9356"/>
              </w:tabs>
              <w:spacing w:before="60" w:after="60"/>
              <w:ind w:left="142" w:firstLine="0"/>
              <w:rPr>
                <w:rFonts w:eastAsia="Times New Roman" w:cs="Calibri"/>
                <w:szCs w:val="22"/>
              </w:rPr>
            </w:pPr>
            <w:r w:rsidRPr="00B255AC">
              <w:rPr>
                <w:rFonts w:eastAsia="Times New Roman" w:cs="Calibri"/>
                <w:szCs w:val="22"/>
              </w:rPr>
              <w:t>One completed challenge study in the United States (NCT04978454)</w:t>
            </w:r>
          </w:p>
          <w:p w14:paraId="14634414" w14:textId="77777777" w:rsidR="00B255AC" w:rsidRPr="00B255AC" w:rsidRDefault="00B255AC" w:rsidP="00B255AC">
            <w:pPr>
              <w:widowControl w:val="0"/>
              <w:tabs>
                <w:tab w:val="right" w:leader="dot" w:pos="9356"/>
              </w:tabs>
              <w:spacing w:before="60" w:after="40"/>
              <w:ind w:left="142" w:firstLine="0"/>
              <w:rPr>
                <w:rFonts w:eastAsia="Times New Roman" w:cs="Times New Roman"/>
                <w:szCs w:val="22"/>
              </w:rPr>
            </w:pPr>
            <w:r w:rsidRPr="00B255AC">
              <w:rPr>
                <w:rFonts w:eastAsia="Times New Roman" w:cs="Calibri"/>
                <w:szCs w:val="22"/>
              </w:rPr>
              <w:t>One ongoing challenge study in the United States (NCT06476275)</w:t>
            </w:r>
          </w:p>
        </w:tc>
      </w:tr>
      <w:tr w:rsidR="00B255AC" w:rsidRPr="00B255AC" w14:paraId="0D7867EC" w14:textId="77777777" w:rsidTr="0003379D">
        <w:trPr>
          <w:jc w:val="center"/>
        </w:trPr>
        <w:tc>
          <w:tcPr>
            <w:tcW w:w="9200" w:type="dxa"/>
            <w:gridSpan w:val="2"/>
          </w:tcPr>
          <w:p w14:paraId="4CAC6A57" w14:textId="77777777" w:rsidR="00B255AC" w:rsidRPr="00B255AC" w:rsidRDefault="00B255AC" w:rsidP="00B255AC">
            <w:pPr>
              <w:keepLines/>
              <w:widowControl w:val="0"/>
              <w:tabs>
                <w:tab w:val="right" w:leader="dot" w:pos="9356"/>
              </w:tabs>
              <w:spacing w:before="60" w:after="60"/>
              <w:ind w:left="142" w:firstLine="0"/>
              <w:rPr>
                <w:rFonts w:eastAsia="Times New Roman" w:cs="Calibri"/>
                <w:b/>
                <w:i/>
                <w:szCs w:val="22"/>
              </w:rPr>
            </w:pPr>
            <w:r w:rsidRPr="00B255AC">
              <w:rPr>
                <w:rFonts w:eastAsia="Times New Roman" w:cs="Calibri"/>
                <w:b/>
                <w:i/>
                <w:szCs w:val="22"/>
              </w:rPr>
              <w:t>Proposed limits and controls</w:t>
            </w:r>
          </w:p>
        </w:tc>
      </w:tr>
      <w:tr w:rsidR="00B255AC" w:rsidRPr="00B255AC" w14:paraId="0A949D86" w14:textId="77777777" w:rsidTr="0003379D">
        <w:trPr>
          <w:jc w:val="center"/>
        </w:trPr>
        <w:tc>
          <w:tcPr>
            <w:tcW w:w="2122" w:type="dxa"/>
          </w:tcPr>
          <w:p w14:paraId="5F3773D1" w14:textId="77777777" w:rsidR="00B255AC" w:rsidRPr="00B255AC" w:rsidRDefault="00B255AC" w:rsidP="00B255AC">
            <w:pPr>
              <w:widowControl w:val="0"/>
              <w:tabs>
                <w:tab w:val="right" w:leader="dot" w:pos="9356"/>
              </w:tabs>
              <w:spacing w:before="40" w:after="40"/>
              <w:ind w:left="142" w:firstLine="0"/>
              <w:rPr>
                <w:rFonts w:eastAsia="Times New Roman" w:cs="Calibri"/>
                <w:bCs/>
                <w:i/>
                <w:szCs w:val="22"/>
              </w:rPr>
            </w:pPr>
            <w:r w:rsidRPr="00B255AC">
              <w:rPr>
                <w:rFonts w:eastAsia="Times New Roman" w:cs="Calibri"/>
                <w:bCs/>
                <w:i/>
                <w:szCs w:val="22"/>
              </w:rPr>
              <w:t>Proposed duration</w:t>
            </w:r>
          </w:p>
        </w:tc>
        <w:tc>
          <w:tcPr>
            <w:tcW w:w="7078" w:type="dxa"/>
          </w:tcPr>
          <w:p w14:paraId="6D6303C5" w14:textId="77777777" w:rsidR="00B255AC" w:rsidRPr="00B255AC" w:rsidRDefault="00B255AC" w:rsidP="00B255AC">
            <w:pPr>
              <w:widowControl w:val="0"/>
              <w:tabs>
                <w:tab w:val="right" w:leader="dot" w:pos="9356"/>
              </w:tabs>
              <w:spacing w:before="60" w:after="60"/>
              <w:ind w:left="142" w:firstLine="0"/>
              <w:rPr>
                <w:rFonts w:eastAsia="Times New Roman" w:cs="Calibri"/>
                <w:iCs/>
                <w:szCs w:val="22"/>
              </w:rPr>
            </w:pPr>
            <w:r w:rsidRPr="00B255AC">
              <w:rPr>
                <w:rFonts w:eastAsia="Times New Roman" w:cs="Calibri"/>
                <w:iCs/>
                <w:szCs w:val="22"/>
              </w:rPr>
              <w:t>5 years</w:t>
            </w:r>
          </w:p>
        </w:tc>
      </w:tr>
      <w:tr w:rsidR="00B255AC" w:rsidRPr="00B255AC" w14:paraId="272EBF5F" w14:textId="77777777" w:rsidTr="0003379D">
        <w:trPr>
          <w:jc w:val="center"/>
        </w:trPr>
        <w:tc>
          <w:tcPr>
            <w:tcW w:w="2122" w:type="dxa"/>
          </w:tcPr>
          <w:p w14:paraId="026BC206" w14:textId="77777777" w:rsidR="00B255AC" w:rsidRPr="00B255AC" w:rsidRDefault="00B255AC" w:rsidP="00B255AC">
            <w:pPr>
              <w:widowControl w:val="0"/>
              <w:tabs>
                <w:tab w:val="right" w:leader="dot" w:pos="9356"/>
              </w:tabs>
              <w:spacing w:before="40" w:after="40"/>
              <w:ind w:left="142" w:firstLine="0"/>
              <w:rPr>
                <w:rFonts w:eastAsia="Times New Roman" w:cs="Arial Narrow"/>
                <w:bCs/>
                <w:i/>
                <w:szCs w:val="22"/>
              </w:rPr>
            </w:pPr>
            <w:r w:rsidRPr="00B255AC">
              <w:rPr>
                <w:rFonts w:eastAsia="Times New Roman" w:cs="Calibri"/>
                <w:bCs/>
                <w:i/>
                <w:szCs w:val="22"/>
              </w:rPr>
              <w:t>Proposed trial size</w:t>
            </w:r>
          </w:p>
        </w:tc>
        <w:tc>
          <w:tcPr>
            <w:tcW w:w="7078" w:type="dxa"/>
          </w:tcPr>
          <w:p w14:paraId="7AFF1753" w14:textId="77777777" w:rsidR="00B255AC" w:rsidRPr="00B255AC" w:rsidRDefault="00B255AC" w:rsidP="00B255AC">
            <w:pPr>
              <w:widowControl w:val="0"/>
              <w:tabs>
                <w:tab w:val="right" w:leader="dot" w:pos="9356"/>
              </w:tabs>
              <w:spacing w:before="60" w:after="60"/>
              <w:ind w:left="142" w:firstLine="0"/>
              <w:rPr>
                <w:rFonts w:eastAsia="Times New Roman" w:cs="Calibri"/>
                <w:iCs/>
                <w:szCs w:val="22"/>
              </w:rPr>
            </w:pPr>
            <w:r w:rsidRPr="00B255AC">
              <w:rPr>
                <w:rFonts w:eastAsia="Times New Roman" w:cs="Calibri"/>
                <w:iCs/>
                <w:szCs w:val="22"/>
              </w:rPr>
              <w:t xml:space="preserve">Up to 150 clinical trial participants </w:t>
            </w:r>
          </w:p>
        </w:tc>
      </w:tr>
      <w:tr w:rsidR="00B255AC" w:rsidRPr="00B255AC" w14:paraId="37B6285F" w14:textId="77777777" w:rsidTr="0003379D">
        <w:trPr>
          <w:jc w:val="center"/>
        </w:trPr>
        <w:tc>
          <w:tcPr>
            <w:tcW w:w="2122" w:type="dxa"/>
          </w:tcPr>
          <w:p w14:paraId="47705F6D" w14:textId="77777777" w:rsidR="00B255AC" w:rsidRPr="00B255AC" w:rsidRDefault="00B255AC" w:rsidP="00B255AC">
            <w:pPr>
              <w:widowControl w:val="0"/>
              <w:tabs>
                <w:tab w:val="right" w:leader="dot" w:pos="9356"/>
              </w:tabs>
              <w:spacing w:before="40" w:after="40"/>
              <w:ind w:left="142" w:firstLine="0"/>
              <w:rPr>
                <w:rFonts w:eastAsia="Times New Roman" w:cs="Arial Narrow"/>
                <w:bCs/>
                <w:i/>
                <w:szCs w:val="22"/>
              </w:rPr>
            </w:pPr>
            <w:r w:rsidRPr="00B255AC">
              <w:rPr>
                <w:rFonts w:eastAsia="Times New Roman" w:cs="Calibri"/>
                <w:bCs/>
                <w:i/>
                <w:szCs w:val="22"/>
              </w:rPr>
              <w:t>Proposed locations</w:t>
            </w:r>
          </w:p>
        </w:tc>
        <w:tc>
          <w:tcPr>
            <w:tcW w:w="7078" w:type="dxa"/>
          </w:tcPr>
          <w:p w14:paraId="3D09B01D" w14:textId="77777777" w:rsidR="00B255AC" w:rsidRPr="00B255AC" w:rsidRDefault="00B255AC" w:rsidP="00B255AC">
            <w:pPr>
              <w:widowControl w:val="0"/>
              <w:tabs>
                <w:tab w:val="right" w:leader="dot" w:pos="9356"/>
              </w:tabs>
              <w:spacing w:before="60" w:after="60"/>
              <w:ind w:left="142" w:firstLine="0"/>
              <w:rPr>
                <w:rFonts w:eastAsia="Times New Roman" w:cs="Times New Roman"/>
                <w:szCs w:val="22"/>
              </w:rPr>
            </w:pPr>
            <w:r w:rsidRPr="00B255AC">
              <w:rPr>
                <w:rFonts w:eastAsia="Times New Roman" w:cs="Times New Roman"/>
                <w:szCs w:val="22"/>
              </w:rPr>
              <w:t>Clinical Trial Ward located in East Melbourne.</w:t>
            </w:r>
          </w:p>
        </w:tc>
      </w:tr>
      <w:tr w:rsidR="00B255AC" w:rsidRPr="00B255AC" w14:paraId="256868DF" w14:textId="77777777" w:rsidTr="0003379D">
        <w:trPr>
          <w:jc w:val="center"/>
        </w:trPr>
        <w:tc>
          <w:tcPr>
            <w:tcW w:w="2122" w:type="dxa"/>
          </w:tcPr>
          <w:p w14:paraId="62378433" w14:textId="77777777" w:rsidR="00B255AC" w:rsidRPr="00B255AC" w:rsidRDefault="00B255AC" w:rsidP="00B255AC">
            <w:pPr>
              <w:widowControl w:val="0"/>
              <w:tabs>
                <w:tab w:val="right" w:leader="dot" w:pos="9356"/>
              </w:tabs>
              <w:spacing w:before="40" w:after="40"/>
              <w:ind w:left="142" w:firstLine="0"/>
              <w:rPr>
                <w:rFonts w:eastAsia="Times New Roman" w:cs="Calibri"/>
                <w:bCs/>
                <w:i/>
                <w:szCs w:val="22"/>
              </w:rPr>
            </w:pPr>
            <w:r w:rsidRPr="00B255AC">
              <w:rPr>
                <w:rFonts w:eastAsia="Times New Roman" w:cs="Calibri"/>
                <w:bCs/>
                <w:i/>
                <w:szCs w:val="22"/>
              </w:rPr>
              <w:t>Proposed controls</w:t>
            </w:r>
          </w:p>
        </w:tc>
        <w:tc>
          <w:tcPr>
            <w:tcW w:w="7078" w:type="dxa"/>
          </w:tcPr>
          <w:p w14:paraId="06D78181" w14:textId="77777777" w:rsidR="00B255AC" w:rsidRPr="00B255AC" w:rsidRDefault="00B255AC" w:rsidP="00B255AC">
            <w:pPr>
              <w:widowControl w:val="0"/>
              <w:numPr>
                <w:ilvl w:val="0"/>
                <w:numId w:val="1"/>
              </w:numPr>
              <w:tabs>
                <w:tab w:val="right" w:leader="dot" w:pos="9356"/>
              </w:tabs>
              <w:spacing w:before="60" w:after="60"/>
              <w:rPr>
                <w:rFonts w:eastAsia="Times New Roman" w:cs="Times New Roman"/>
                <w:szCs w:val="22"/>
              </w:rPr>
            </w:pPr>
            <w:r w:rsidRPr="00B255AC">
              <w:rPr>
                <w:rFonts w:eastAsia="Times New Roman" w:cs="Times New Roman"/>
                <w:szCs w:val="22"/>
              </w:rPr>
              <w:t xml:space="preserve">Trial participants will be isolated in secure rooms </w:t>
            </w:r>
          </w:p>
          <w:p w14:paraId="148FF7B3" w14:textId="77777777" w:rsidR="00B255AC" w:rsidRPr="00B255AC" w:rsidRDefault="00B255AC" w:rsidP="00B255AC">
            <w:pPr>
              <w:widowControl w:val="0"/>
              <w:numPr>
                <w:ilvl w:val="0"/>
                <w:numId w:val="1"/>
              </w:numPr>
              <w:tabs>
                <w:tab w:val="right" w:leader="dot" w:pos="9356"/>
              </w:tabs>
              <w:spacing w:before="60" w:after="60"/>
              <w:rPr>
                <w:rFonts w:eastAsia="Times New Roman" w:cs="Times New Roman"/>
                <w:szCs w:val="22"/>
              </w:rPr>
            </w:pPr>
            <w:r w:rsidRPr="00B255AC">
              <w:rPr>
                <w:rFonts w:eastAsia="Times New Roman" w:cs="Times New Roman"/>
                <w:szCs w:val="22"/>
              </w:rPr>
              <w:t>Staff will be trained and experienced in preventing spread of infection</w:t>
            </w:r>
          </w:p>
          <w:p w14:paraId="721E4C97" w14:textId="77777777" w:rsidR="00B255AC" w:rsidRPr="00B255AC" w:rsidRDefault="00B255AC" w:rsidP="00B255AC">
            <w:pPr>
              <w:widowControl w:val="0"/>
              <w:numPr>
                <w:ilvl w:val="0"/>
                <w:numId w:val="1"/>
              </w:numPr>
              <w:tabs>
                <w:tab w:val="right" w:leader="dot" w:pos="9356"/>
              </w:tabs>
              <w:spacing w:before="60" w:after="60"/>
              <w:rPr>
                <w:rFonts w:eastAsia="Times New Roman" w:cs="Times New Roman"/>
                <w:szCs w:val="22"/>
              </w:rPr>
            </w:pPr>
            <w:r w:rsidRPr="00B255AC">
              <w:rPr>
                <w:rFonts w:eastAsia="Times New Roman" w:cs="Times New Roman"/>
                <w:szCs w:val="22"/>
              </w:rPr>
              <w:t>Staff will wear personal protective equipment (PPE) while conducting dealings with GMO including GMO administration, serving food, patient care, checks and monitoring as required</w:t>
            </w:r>
          </w:p>
          <w:p w14:paraId="0F6D3066" w14:textId="77777777" w:rsidR="00B255AC" w:rsidRPr="00B255AC" w:rsidRDefault="00B255AC" w:rsidP="00B255AC">
            <w:pPr>
              <w:widowControl w:val="0"/>
              <w:numPr>
                <w:ilvl w:val="0"/>
                <w:numId w:val="1"/>
              </w:numPr>
              <w:tabs>
                <w:tab w:val="right" w:leader="dot" w:pos="9356"/>
              </w:tabs>
              <w:spacing w:before="60" w:after="60"/>
              <w:rPr>
                <w:rFonts w:eastAsia="Times New Roman" w:cs="Times New Roman"/>
                <w:szCs w:val="22"/>
              </w:rPr>
            </w:pPr>
            <w:r w:rsidRPr="00B255AC">
              <w:rPr>
                <w:rFonts w:eastAsia="Times New Roman" w:cs="Times New Roman"/>
                <w:szCs w:val="22"/>
              </w:rPr>
              <w:t>Trial participants will remain isolated for 7 days post administration</w:t>
            </w:r>
          </w:p>
          <w:p w14:paraId="6AE67020" w14:textId="77777777" w:rsidR="00B255AC" w:rsidRPr="00B255AC" w:rsidRDefault="00B255AC" w:rsidP="00B255AC">
            <w:pPr>
              <w:widowControl w:val="0"/>
              <w:numPr>
                <w:ilvl w:val="0"/>
                <w:numId w:val="1"/>
              </w:numPr>
              <w:tabs>
                <w:tab w:val="right" w:leader="dot" w:pos="9356"/>
              </w:tabs>
              <w:spacing w:before="60" w:after="60"/>
              <w:rPr>
                <w:rFonts w:eastAsia="Times New Roman" w:cs="Times New Roman"/>
                <w:szCs w:val="22"/>
              </w:rPr>
            </w:pPr>
            <w:r w:rsidRPr="00B255AC">
              <w:rPr>
                <w:rFonts w:eastAsia="Times New Roman" w:cs="Times New Roman"/>
                <w:szCs w:val="22"/>
              </w:rPr>
              <w:t>Waste potentially contaminated with GMOs will be disposed of in GMO-labelled bin and collected by external service providers</w:t>
            </w:r>
          </w:p>
        </w:tc>
      </w:tr>
    </w:tbl>
    <w:p w14:paraId="318C068F" w14:textId="77777777" w:rsidR="00B255AC" w:rsidRPr="00B255AC" w:rsidRDefault="00B255AC" w:rsidP="00B255AC">
      <w:pPr>
        <w:keepNext/>
        <w:keepLines/>
        <w:ind w:left="-57" w:firstLine="0"/>
        <w:outlineLvl w:val="0"/>
        <w:rPr>
          <w:rFonts w:eastAsia="SimSun" w:cs="Times New Roman"/>
          <w:b/>
          <w:bCs/>
          <w:i/>
          <w:sz w:val="28"/>
          <w:szCs w:val="28"/>
        </w:rPr>
      </w:pPr>
      <w:bookmarkStart w:id="8" w:name="_Toc183694133"/>
      <w:bookmarkStart w:id="9" w:name="_Toc209859549"/>
      <w:bookmarkStart w:id="10" w:name="_Toc274904728"/>
      <w:bookmarkStart w:id="11" w:name="_Toc291151778"/>
      <w:bookmarkStart w:id="12" w:name="_Toc355007997"/>
      <w:bookmarkStart w:id="13" w:name="_Toc465862036"/>
      <w:bookmarkStart w:id="14" w:name="_Toc466627806"/>
      <w:r w:rsidRPr="00B255AC">
        <w:rPr>
          <w:rFonts w:eastAsia="SimSun" w:cs="Times New Roman"/>
          <w:b/>
          <w:bCs/>
          <w:i/>
          <w:sz w:val="28"/>
          <w:szCs w:val="28"/>
        </w:rPr>
        <w:t>Risk assessment</w:t>
      </w:r>
      <w:bookmarkEnd w:id="8"/>
    </w:p>
    <w:p w14:paraId="63E463BB" w14:textId="77777777" w:rsidR="00B255AC" w:rsidRPr="00B255AC" w:rsidRDefault="00B255AC" w:rsidP="00B255AC">
      <w:pPr>
        <w:ind w:left="-57" w:firstLine="0"/>
        <w:rPr>
          <w:rFonts w:eastAsia="Calibri" w:cs="Times New Roman"/>
        </w:rPr>
      </w:pPr>
      <w:r w:rsidRPr="00B255AC">
        <w:rPr>
          <w:rFonts w:eastAsia="Calibri" w:cs="Times New Roman"/>
        </w:rPr>
        <w:t xml:space="preserve">The risk assessment process considers how the genetic modifications and proposed activities conducted with the GMO might lead to harm to people or the environment. Risks are characterised in relation to both the likelihood and consequence of the harm, </w:t>
      </w:r>
      <w:proofErr w:type="gramStart"/>
      <w:r w:rsidRPr="00B255AC">
        <w:rPr>
          <w:rFonts w:eastAsia="Calibri" w:cs="Times New Roman"/>
        </w:rPr>
        <w:t>taking into account</w:t>
      </w:r>
      <w:proofErr w:type="gramEnd"/>
      <w:r w:rsidRPr="00B255AC">
        <w:rPr>
          <w:rFonts w:eastAsia="Calibri" w:cs="Times New Roman"/>
        </w:rPr>
        <w:t xml:space="preserve"> information in the application (including proposed controls), relevant previous approvals and current scientific/technical knowledge. Both the short- and long-term impact are considered.</w:t>
      </w:r>
    </w:p>
    <w:p w14:paraId="4BD2D739" w14:textId="77777777" w:rsidR="00B255AC" w:rsidRPr="00B255AC" w:rsidRDefault="00B255AC" w:rsidP="00B255AC">
      <w:pPr>
        <w:ind w:left="-57" w:firstLine="0"/>
        <w:rPr>
          <w:rFonts w:eastAsia="Calibri" w:cs="Times New Roman"/>
        </w:rPr>
      </w:pPr>
      <w:r w:rsidRPr="00B255AC">
        <w:rPr>
          <w:rFonts w:eastAsia="Calibri" w:cs="Times New Roman"/>
        </w:rPr>
        <w:t xml:space="preserve">Credible pathways to potential harm that were considered included exposure of people or animals to the GMOs and whether there is the potential for reassortment with other viruses. Potential harms that were considered in relation to these pathways included ill health and increased disease in people or animals. </w:t>
      </w:r>
    </w:p>
    <w:p w14:paraId="72977AD3" w14:textId="301EA523" w:rsidR="00B255AC" w:rsidRPr="00B255AC" w:rsidRDefault="00B255AC" w:rsidP="00B255AC">
      <w:pPr>
        <w:ind w:left="-57" w:firstLine="0"/>
        <w:rPr>
          <w:rFonts w:eastAsia="Calibri" w:cs="Times New Roman"/>
        </w:rPr>
      </w:pPr>
      <w:r w:rsidRPr="00B255AC">
        <w:rPr>
          <w:rFonts w:eastAsia="Calibri" w:cs="Times New Roman"/>
        </w:rPr>
        <w:lastRenderedPageBreak/>
        <w:t xml:space="preserve">The RARMP determined that the proposed clinical trial presents </w:t>
      </w:r>
      <w:r w:rsidRPr="00B255AC">
        <w:rPr>
          <w:rFonts w:eastAsia="Calibri" w:cs="Times New Roman"/>
          <w:b/>
          <w:bCs/>
        </w:rPr>
        <w:t>negligible to moderate risks</w:t>
      </w:r>
      <w:r w:rsidRPr="00B255AC">
        <w:rPr>
          <w:rFonts w:eastAsia="Calibri" w:cs="Times New Roman"/>
        </w:rPr>
        <w:t xml:space="preserve"> to the health and safety of individuals</w:t>
      </w:r>
      <w:r w:rsidR="008B1B3D">
        <w:rPr>
          <w:rFonts w:eastAsia="Calibri" w:cs="Times New Roman"/>
        </w:rPr>
        <w:t xml:space="preserve">, </w:t>
      </w:r>
      <w:r w:rsidR="008B1B3D">
        <w:t>based on the pathogenicity of circulating influenza</w:t>
      </w:r>
      <w:r w:rsidRPr="00B255AC">
        <w:rPr>
          <w:rFonts w:eastAsia="Calibri" w:cs="Times New Roman"/>
        </w:rPr>
        <w:t>. Licence conditions have been implemented to mitigate the risks associated with this clinical trial.</w:t>
      </w:r>
      <w:r w:rsidRPr="00B255AC" w:rsidDel="00BA77EC">
        <w:rPr>
          <w:rFonts w:eastAsia="Calibri" w:cs="Times New Roman"/>
        </w:rPr>
        <w:t xml:space="preserve"> </w:t>
      </w:r>
    </w:p>
    <w:p w14:paraId="384FD7AE" w14:textId="77777777" w:rsidR="00B255AC" w:rsidRPr="00B255AC" w:rsidRDefault="00B255AC" w:rsidP="00B255AC">
      <w:pPr>
        <w:pBdr>
          <w:top w:val="nil"/>
          <w:left w:val="nil"/>
          <w:bottom w:val="nil"/>
          <w:right w:val="nil"/>
          <w:between w:val="nil"/>
          <w:bar w:val="nil"/>
        </w:pBdr>
        <w:spacing w:before="120" w:after="120"/>
        <w:ind w:left="-57" w:firstLine="0"/>
        <w:rPr>
          <w:rFonts w:eastAsia="Arial Unicode MS" w:cs="Calibri"/>
          <w:szCs w:val="22"/>
          <w:u w:color="000000"/>
          <w:bdr w:val="nil"/>
        </w:rPr>
      </w:pPr>
      <w:r w:rsidRPr="00B255AC">
        <w:rPr>
          <w:rFonts w:eastAsia="Arial Unicode MS" w:cs="Calibri"/>
          <w:szCs w:val="22"/>
          <w:u w:color="000000"/>
          <w:bdr w:val="nil"/>
        </w:rPr>
        <w:t xml:space="preserve">Important factors in reaching the conclusions of the risk assessment included: </w:t>
      </w:r>
    </w:p>
    <w:p w14:paraId="6A11FEC2" w14:textId="77777777" w:rsidR="00B255AC" w:rsidRPr="00B255AC" w:rsidRDefault="00B255AC" w:rsidP="00B255AC">
      <w:pPr>
        <w:pBdr>
          <w:top w:val="nil"/>
          <w:left w:val="nil"/>
          <w:bottom w:val="nil"/>
          <w:right w:val="nil"/>
          <w:between w:val="nil"/>
          <w:bar w:val="nil"/>
        </w:pBdr>
        <w:spacing w:before="120" w:after="120"/>
        <w:ind w:left="-57" w:firstLine="0"/>
        <w:rPr>
          <w:rFonts w:eastAsia="Arial Unicode MS" w:cs="Calibri"/>
          <w:szCs w:val="22"/>
          <w:u w:color="000000"/>
          <w:bdr w:val="nil"/>
        </w:rPr>
      </w:pPr>
      <w:r w:rsidRPr="00B255AC">
        <w:rPr>
          <w:rFonts w:eastAsia="Arial Unicode MS" w:cs="Calibri"/>
          <w:szCs w:val="22"/>
          <w:u w:color="000000"/>
          <w:bdr w:val="nil"/>
        </w:rPr>
        <w:t xml:space="preserve">- the GMOs would not be more pathogenic than circulation strain of influenza </w:t>
      </w:r>
    </w:p>
    <w:p w14:paraId="4F673C6E" w14:textId="77777777" w:rsidR="00B255AC" w:rsidRPr="00B255AC" w:rsidRDefault="00B255AC" w:rsidP="00B255AC">
      <w:pPr>
        <w:pBdr>
          <w:top w:val="nil"/>
          <w:left w:val="nil"/>
          <w:bottom w:val="nil"/>
          <w:right w:val="nil"/>
          <w:between w:val="nil"/>
          <w:bar w:val="nil"/>
        </w:pBdr>
        <w:spacing w:before="120" w:after="120"/>
        <w:ind w:left="-57" w:firstLine="0"/>
        <w:rPr>
          <w:rFonts w:eastAsia="Arial Unicode MS" w:cs="Calibri"/>
          <w:szCs w:val="22"/>
          <w:u w:color="000000"/>
          <w:bdr w:val="nil"/>
        </w:rPr>
      </w:pPr>
      <w:r w:rsidRPr="00B255AC">
        <w:rPr>
          <w:rFonts w:eastAsia="Arial Unicode MS" w:cs="Calibri"/>
          <w:szCs w:val="22"/>
          <w:u w:color="000000"/>
          <w:bdr w:val="nil"/>
        </w:rPr>
        <w:t xml:space="preserve">- the trial participants will remain isolated for the duration of the contagious period </w:t>
      </w:r>
    </w:p>
    <w:p w14:paraId="46862DA3" w14:textId="77777777" w:rsidR="00B255AC" w:rsidRPr="00B255AC" w:rsidRDefault="00B255AC" w:rsidP="00B255AC">
      <w:pPr>
        <w:pBdr>
          <w:top w:val="nil"/>
          <w:left w:val="nil"/>
          <w:bottom w:val="nil"/>
          <w:right w:val="nil"/>
          <w:between w:val="nil"/>
          <w:bar w:val="nil"/>
        </w:pBdr>
        <w:spacing w:before="120" w:after="120"/>
        <w:ind w:left="-57" w:firstLine="0"/>
        <w:rPr>
          <w:rFonts w:eastAsia="Arial Unicode MS" w:cs="Calibri"/>
          <w:szCs w:val="22"/>
          <w:u w:color="000000"/>
          <w:bdr w:val="nil"/>
        </w:rPr>
      </w:pPr>
      <w:r w:rsidRPr="00B255AC">
        <w:rPr>
          <w:rFonts w:eastAsia="Arial Unicode MS" w:cs="Calibri"/>
          <w:szCs w:val="22"/>
          <w:u w:color="000000"/>
          <w:bdr w:val="nil"/>
        </w:rPr>
        <w:t xml:space="preserve">- extensive PPE would be worn by staff conducting dealings. </w:t>
      </w:r>
    </w:p>
    <w:p w14:paraId="2491B2B7" w14:textId="77777777" w:rsidR="00B255AC" w:rsidRPr="00B255AC" w:rsidRDefault="00B255AC" w:rsidP="00B255AC">
      <w:pPr>
        <w:keepNext/>
        <w:keepLines/>
        <w:ind w:left="-57" w:firstLine="0"/>
        <w:outlineLvl w:val="0"/>
        <w:rPr>
          <w:rFonts w:eastAsia="SimSun" w:cs="Times New Roman"/>
          <w:b/>
          <w:bCs/>
          <w:i/>
          <w:sz w:val="28"/>
          <w:szCs w:val="28"/>
          <w:lang w:eastAsia="en-US"/>
        </w:rPr>
      </w:pPr>
      <w:bookmarkStart w:id="15" w:name="_Toc183694134"/>
      <w:r w:rsidRPr="00B255AC">
        <w:rPr>
          <w:rFonts w:eastAsia="SimSun" w:cs="Times New Roman"/>
          <w:b/>
          <w:bCs/>
          <w:i/>
          <w:sz w:val="28"/>
          <w:szCs w:val="28"/>
          <w:lang w:eastAsia="en-US"/>
        </w:rPr>
        <w:t>Risk management</w:t>
      </w:r>
      <w:bookmarkEnd w:id="9"/>
      <w:r w:rsidRPr="00B255AC">
        <w:rPr>
          <w:rFonts w:eastAsia="SimSun" w:cs="Times New Roman"/>
          <w:b/>
          <w:bCs/>
          <w:i/>
          <w:sz w:val="28"/>
          <w:szCs w:val="28"/>
          <w:lang w:eastAsia="en-US"/>
        </w:rPr>
        <w:t xml:space="preserve"> plan</w:t>
      </w:r>
      <w:bookmarkEnd w:id="10"/>
      <w:bookmarkEnd w:id="11"/>
      <w:bookmarkEnd w:id="12"/>
      <w:bookmarkEnd w:id="13"/>
      <w:bookmarkEnd w:id="14"/>
      <w:bookmarkEnd w:id="15"/>
    </w:p>
    <w:p w14:paraId="0481CA8F" w14:textId="77777777" w:rsidR="00B255AC" w:rsidRPr="00B255AC" w:rsidRDefault="00B255AC" w:rsidP="00B255AC">
      <w:pPr>
        <w:ind w:left="-57" w:firstLine="0"/>
        <w:rPr>
          <w:rFonts w:eastAsia="SimSun" w:cs="Times New Roman"/>
          <w:szCs w:val="22"/>
        </w:rPr>
      </w:pPr>
      <w:r w:rsidRPr="00B255AC">
        <w:rPr>
          <w:rFonts w:eastAsia="SimSun" w:cs="Times New Roman"/>
          <w:szCs w:val="22"/>
        </w:rPr>
        <w:t xml:space="preserve">The risk management plan describes measures to protect the health and safety of people and to protect the environment by controlling or mitigating risk. The risk management plan is given effect through licence conditions. </w:t>
      </w:r>
    </w:p>
    <w:p w14:paraId="04F6E31F" w14:textId="12C86B0A" w:rsidR="00280050" w:rsidRDefault="00B255AC" w:rsidP="00B255AC">
      <w:pPr>
        <w:ind w:left="-57" w:firstLine="0"/>
      </w:pPr>
      <w:r w:rsidRPr="00B255AC">
        <w:rPr>
          <w:rFonts w:eastAsia="SimSun" w:cs="Times New Roman"/>
          <w:szCs w:val="22"/>
        </w:rPr>
        <w:t xml:space="preserve">The RARMP determined that the proposed clinical trial presents </w:t>
      </w:r>
      <w:r w:rsidRPr="00B255AC">
        <w:rPr>
          <w:rFonts w:eastAsia="SimSun" w:cs="Times New Roman"/>
          <w:b/>
          <w:bCs/>
          <w:szCs w:val="22"/>
        </w:rPr>
        <w:t>negligible to moderate risks</w:t>
      </w:r>
      <w:r w:rsidRPr="00B255AC">
        <w:rPr>
          <w:rFonts w:eastAsia="SimSun" w:cs="Times New Roman"/>
          <w:szCs w:val="22"/>
        </w:rPr>
        <w:t xml:space="preserve"> to the health and safety of individuals</w:t>
      </w:r>
      <w:r w:rsidR="008B1B3D">
        <w:rPr>
          <w:rFonts w:eastAsia="SimSun" w:cs="Times New Roman"/>
          <w:szCs w:val="22"/>
        </w:rPr>
        <w:t xml:space="preserve">, </w:t>
      </w:r>
      <w:r w:rsidR="008B1B3D">
        <w:t>based on the pathogenicity of circulating influenza</w:t>
      </w:r>
      <w:r w:rsidRPr="00B255AC">
        <w:rPr>
          <w:rFonts w:eastAsia="SimSun" w:cs="Times New Roman"/>
          <w:szCs w:val="22"/>
        </w:rPr>
        <w:t>. Licence conditions have been imposed to mitigate the risks associated with this clinical trial.</w:t>
      </w:r>
      <w:r w:rsidRPr="00B255AC">
        <w:rPr>
          <w:rFonts w:eastAsia="Calibri" w:cs="Times New Roman"/>
        </w:rPr>
        <w:t xml:space="preserve"> </w:t>
      </w:r>
      <w:r w:rsidRPr="00B255AC">
        <w:rPr>
          <w:rFonts w:eastAsia="SimSun" w:cs="Times New Roman"/>
          <w:szCs w:val="22"/>
        </w:rPr>
        <w:t>In addition, since this is a clinical trial, the licence includes limits on the number of trial participants, the facility used, exclusion criteria, and as well as a range of controls to minimise the potential for exposure of people other than trial participants to the GMO. There are also several general conditions imposed relating to ongoing licence holder suitability, auditing and monitoring, and reporting requirements, including an obligation to report any unintended effec</w:t>
      </w:r>
      <w:r>
        <w:rPr>
          <w:rFonts w:eastAsia="SimSun" w:cs="Times New Roman"/>
          <w:szCs w:val="22"/>
        </w:rPr>
        <w:t>t</w:t>
      </w:r>
      <w:bookmarkEnd w:id="4"/>
      <w:bookmarkEnd w:id="5"/>
      <w:bookmarkEnd w:id="6"/>
      <w:r>
        <w:rPr>
          <w:rFonts w:eastAsia="SimSun" w:cs="Times New Roman"/>
          <w:szCs w:val="22"/>
        </w:rPr>
        <w:t>.</w:t>
      </w:r>
    </w:p>
    <w:sectPr w:rsidR="00280050" w:rsidSect="00041157">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D1F67" w14:textId="77777777" w:rsidR="00650004" w:rsidRDefault="00650004" w:rsidP="00B255AC">
      <w:pPr>
        <w:spacing w:before="0" w:after="0"/>
      </w:pPr>
      <w:r>
        <w:separator/>
      </w:r>
    </w:p>
  </w:endnote>
  <w:endnote w:type="continuationSeparator" w:id="0">
    <w:p w14:paraId="12E271C9" w14:textId="77777777" w:rsidR="00650004" w:rsidRDefault="00650004" w:rsidP="00B255A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AAAAQ+Calibri">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7598E" w14:textId="77777777" w:rsidR="00041157" w:rsidRPr="006F488E" w:rsidRDefault="00041157" w:rsidP="00041157">
    <w:pPr>
      <w:pBdr>
        <w:top w:val="single" w:sz="4" w:space="1" w:color="auto"/>
      </w:pBdr>
      <w:jc w:val="center"/>
      <w:rPr>
        <w:rFonts w:cs="Calibri"/>
        <w:sz w:val="20"/>
      </w:rPr>
    </w:pPr>
    <w:r w:rsidRPr="006F488E">
      <w:rPr>
        <w:rFonts w:cs="Calibri"/>
        <w:sz w:val="20"/>
      </w:rPr>
      <w:t>Address: MDP 54 GPO Box 9848, Canberra ACT 2601</w:t>
    </w:r>
    <w:r w:rsidRPr="006F488E">
      <w:rPr>
        <w:rFonts w:cs="Calibri"/>
        <w:sz w:val="20"/>
      </w:rPr>
      <w:tab/>
    </w:r>
    <w:r>
      <w:rPr>
        <w:rFonts w:cs="Calibri"/>
        <w:sz w:val="20"/>
      </w:rPr>
      <w:t xml:space="preserve"> </w:t>
    </w:r>
    <w:r w:rsidRPr="006F488E">
      <w:rPr>
        <w:rFonts w:cs="Calibri"/>
        <w:sz w:val="20"/>
      </w:rPr>
      <w:t>Website: www.ogtr.gov.au</w:t>
    </w:r>
  </w:p>
  <w:p w14:paraId="58F3627E" w14:textId="77777777" w:rsidR="00041157" w:rsidRPr="00A95E0D" w:rsidRDefault="00041157" w:rsidP="00041157">
    <w:pPr>
      <w:jc w:val="center"/>
      <w:rPr>
        <w:rFonts w:cs="Calibri"/>
      </w:rPr>
    </w:pPr>
    <w:r w:rsidRPr="006F488E">
      <w:rPr>
        <w:rFonts w:cs="Calibri"/>
        <w:sz w:val="20"/>
      </w:rPr>
      <w:t>Telephone: 1800 181 030</w:t>
    </w:r>
    <w:r w:rsidRPr="006F488E">
      <w:rPr>
        <w:rFonts w:cs="Calibri"/>
        <w:sz w:val="20"/>
      </w:rPr>
      <w:tab/>
    </w:r>
    <w:r>
      <w:rPr>
        <w:rFonts w:cs="Calibri"/>
        <w:sz w:val="20"/>
      </w:rPr>
      <w:t xml:space="preserve"> </w:t>
    </w:r>
    <w:r w:rsidRPr="006F488E">
      <w:rPr>
        <w:rFonts w:cs="Calibri"/>
        <w:sz w:val="20"/>
      </w:rPr>
      <w:t>Email: ogtr@health.gov.au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E3196" w14:textId="77777777" w:rsidR="00650004" w:rsidRDefault="00650004" w:rsidP="00B255AC">
      <w:pPr>
        <w:spacing w:before="0" w:after="0"/>
      </w:pPr>
      <w:r>
        <w:separator/>
      </w:r>
    </w:p>
  </w:footnote>
  <w:footnote w:type="continuationSeparator" w:id="0">
    <w:p w14:paraId="633CE404" w14:textId="77777777" w:rsidR="00650004" w:rsidRDefault="00650004" w:rsidP="00B255A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DE9EA" w14:textId="4078DFDD" w:rsidR="00B255AC" w:rsidRDefault="00B255AC" w:rsidP="00B255AC">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176C9" w14:textId="4104F947" w:rsidR="00041157" w:rsidRDefault="00041157">
    <w:pPr>
      <w:pStyle w:val="Header"/>
    </w:pPr>
    <w:r>
      <w:rPr>
        <w:rFonts w:ascii="Arial" w:hAnsi="Arial" w:cs="Arial"/>
        <w:b/>
        <w:noProof/>
        <w:color w:val="FF0000"/>
        <w:sz w:val="48"/>
        <w:szCs w:val="48"/>
        <w:lang w:val="en-US"/>
      </w:rPr>
      <w:drawing>
        <wp:inline distT="0" distB="0" distL="0" distR="0" wp14:anchorId="76DBF986" wp14:editId="7000769F">
          <wp:extent cx="3402957" cy="779947"/>
          <wp:effectExtent l="0" t="0" r="7620" b="1270"/>
          <wp:docPr id="529543714"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665988"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39588" cy="788343"/>
                  </a:xfrm>
                  <a:prstGeom prst="rect">
                    <a:avLst/>
                  </a:prstGeom>
                </pic:spPr>
              </pic:pic>
            </a:graphicData>
          </a:graphic>
        </wp:inline>
      </w:drawing>
    </w:r>
  </w:p>
  <w:p w14:paraId="44C1D2E8" w14:textId="1BF17D83" w:rsidR="00041157" w:rsidRDefault="00041157" w:rsidP="00041157">
    <w:pPr>
      <w:pStyle w:val="Header"/>
      <w:jc w:val="right"/>
    </w:pPr>
    <w:r>
      <w:t>April 2025</w:t>
    </w:r>
  </w:p>
  <w:p w14:paraId="5266AA46" w14:textId="77777777" w:rsidR="00041157" w:rsidRDefault="00041157" w:rsidP="0004115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65E7E"/>
    <w:multiLevelType w:val="hybridMultilevel"/>
    <w:tmpl w:val="C2B0634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157235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AC"/>
    <w:rsid w:val="00041157"/>
    <w:rsid w:val="001E0811"/>
    <w:rsid w:val="00280050"/>
    <w:rsid w:val="002D6FDF"/>
    <w:rsid w:val="0031702B"/>
    <w:rsid w:val="0039121F"/>
    <w:rsid w:val="004D5343"/>
    <w:rsid w:val="0058117A"/>
    <w:rsid w:val="00650004"/>
    <w:rsid w:val="006A7D37"/>
    <w:rsid w:val="0074191B"/>
    <w:rsid w:val="008B1B3D"/>
    <w:rsid w:val="008D417B"/>
    <w:rsid w:val="00A35F68"/>
    <w:rsid w:val="00B255AC"/>
    <w:rsid w:val="00B36555"/>
    <w:rsid w:val="00C57733"/>
    <w:rsid w:val="00D55F3B"/>
    <w:rsid w:val="00EB61DE"/>
    <w:rsid w:val="00EC0E5D"/>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310A6"/>
  <w15:chartTrackingRefBased/>
  <w15:docId w15:val="{B9B1AD35-729B-4B4E-AA62-40ECE9692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B255AC"/>
    <w:pPr>
      <w:spacing w:before="240" w:after="240" w:line="240" w:lineRule="auto"/>
      <w:ind w:left="499" w:hanging="357"/>
    </w:pPr>
    <w:rPr>
      <w:rFonts w:ascii="Calibri" w:hAnsi="Calibri" w:cstheme="minorBidi"/>
      <w:kern w:val="0"/>
      <w:sz w:val="22"/>
      <w:lang w:eastAsia="en-AU"/>
      <w14:ligatures w14:val="none"/>
    </w:rPr>
  </w:style>
  <w:style w:type="paragraph" w:styleId="Heading1">
    <w:name w:val="heading 1"/>
    <w:basedOn w:val="Normal"/>
    <w:next w:val="Normal"/>
    <w:link w:val="Heading1Char"/>
    <w:uiPriority w:val="9"/>
    <w:qFormat/>
    <w:rsid w:val="00B255A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255A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255AC"/>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255AC"/>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55AC"/>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B255A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55A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55A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55A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5A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255A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255AC"/>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255AC"/>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B255AC"/>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B255A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55A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55A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55A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55A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5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5AC"/>
    <w:pPr>
      <w:numPr>
        <w:ilvl w:val="1"/>
      </w:numPr>
      <w:ind w:left="499" w:hanging="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5A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55AC"/>
    <w:pPr>
      <w:spacing w:before="160"/>
      <w:jc w:val="center"/>
    </w:pPr>
    <w:rPr>
      <w:i/>
      <w:iCs/>
      <w:color w:val="404040" w:themeColor="text1" w:themeTint="BF"/>
    </w:rPr>
  </w:style>
  <w:style w:type="character" w:customStyle="1" w:styleId="QuoteChar">
    <w:name w:val="Quote Char"/>
    <w:basedOn w:val="DefaultParagraphFont"/>
    <w:link w:val="Quote"/>
    <w:uiPriority w:val="29"/>
    <w:rsid w:val="00B255AC"/>
    <w:rPr>
      <w:i/>
      <w:iCs/>
      <w:color w:val="404040" w:themeColor="text1" w:themeTint="BF"/>
    </w:rPr>
  </w:style>
  <w:style w:type="paragraph" w:styleId="ListParagraph">
    <w:name w:val="List Paragraph"/>
    <w:basedOn w:val="Normal"/>
    <w:uiPriority w:val="34"/>
    <w:qFormat/>
    <w:rsid w:val="00B255AC"/>
    <w:pPr>
      <w:ind w:left="720"/>
      <w:contextualSpacing/>
    </w:pPr>
  </w:style>
  <w:style w:type="character" w:styleId="IntenseEmphasis">
    <w:name w:val="Intense Emphasis"/>
    <w:basedOn w:val="DefaultParagraphFont"/>
    <w:uiPriority w:val="21"/>
    <w:qFormat/>
    <w:rsid w:val="00B255AC"/>
    <w:rPr>
      <w:i/>
      <w:iCs/>
      <w:color w:val="2E74B5" w:themeColor="accent1" w:themeShade="BF"/>
    </w:rPr>
  </w:style>
  <w:style w:type="paragraph" w:styleId="IntenseQuote">
    <w:name w:val="Intense Quote"/>
    <w:basedOn w:val="Normal"/>
    <w:next w:val="Normal"/>
    <w:link w:val="IntenseQuoteChar"/>
    <w:uiPriority w:val="30"/>
    <w:qFormat/>
    <w:rsid w:val="00B255A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255AC"/>
    <w:rPr>
      <w:i/>
      <w:iCs/>
      <w:color w:val="2E74B5" w:themeColor="accent1" w:themeShade="BF"/>
    </w:rPr>
  </w:style>
  <w:style w:type="character" w:styleId="IntenseReference">
    <w:name w:val="Intense Reference"/>
    <w:basedOn w:val="DefaultParagraphFont"/>
    <w:uiPriority w:val="32"/>
    <w:qFormat/>
    <w:rsid w:val="00B255AC"/>
    <w:rPr>
      <w:b/>
      <w:bCs/>
      <w:smallCaps/>
      <w:color w:val="2E74B5" w:themeColor="accent1" w:themeShade="BF"/>
      <w:spacing w:val="5"/>
    </w:rPr>
  </w:style>
  <w:style w:type="paragraph" w:styleId="Header">
    <w:name w:val="header"/>
    <w:basedOn w:val="Normal"/>
    <w:link w:val="HeaderChar"/>
    <w:uiPriority w:val="99"/>
    <w:unhideWhenUsed/>
    <w:rsid w:val="00B255AC"/>
    <w:pPr>
      <w:tabs>
        <w:tab w:val="center" w:pos="4513"/>
        <w:tab w:val="right" w:pos="9026"/>
      </w:tabs>
      <w:spacing w:before="0" w:after="0"/>
    </w:pPr>
  </w:style>
  <w:style w:type="character" w:customStyle="1" w:styleId="HeaderChar">
    <w:name w:val="Header Char"/>
    <w:basedOn w:val="DefaultParagraphFont"/>
    <w:link w:val="Header"/>
    <w:uiPriority w:val="99"/>
    <w:rsid w:val="00B255AC"/>
    <w:rPr>
      <w:rFonts w:ascii="Calibri" w:hAnsi="Calibri" w:cstheme="minorBidi"/>
      <w:kern w:val="0"/>
      <w:sz w:val="22"/>
      <w:lang w:eastAsia="en-AU"/>
      <w14:ligatures w14:val="none"/>
    </w:rPr>
  </w:style>
  <w:style w:type="paragraph" w:styleId="Footer">
    <w:name w:val="footer"/>
    <w:basedOn w:val="Normal"/>
    <w:link w:val="FooterChar"/>
    <w:uiPriority w:val="99"/>
    <w:unhideWhenUsed/>
    <w:rsid w:val="00B255AC"/>
    <w:pPr>
      <w:tabs>
        <w:tab w:val="center" w:pos="4513"/>
        <w:tab w:val="right" w:pos="9026"/>
      </w:tabs>
      <w:spacing w:before="0" w:after="0"/>
    </w:pPr>
  </w:style>
  <w:style w:type="character" w:customStyle="1" w:styleId="FooterChar">
    <w:name w:val="Footer Char"/>
    <w:basedOn w:val="DefaultParagraphFont"/>
    <w:link w:val="Footer"/>
    <w:uiPriority w:val="99"/>
    <w:rsid w:val="00B255AC"/>
    <w:rPr>
      <w:rFonts w:ascii="Calibri" w:hAnsi="Calibri" w:cstheme="minorBidi"/>
      <w:kern w:val="0"/>
      <w:sz w:val="22"/>
      <w:lang w:eastAsia="en-AU"/>
      <w14:ligatures w14:val="none"/>
    </w:rPr>
  </w:style>
  <w:style w:type="paragraph" w:styleId="Revision">
    <w:name w:val="Revision"/>
    <w:hidden/>
    <w:uiPriority w:val="99"/>
    <w:semiHidden/>
    <w:rsid w:val="008B1B3D"/>
    <w:pPr>
      <w:spacing w:after="0" w:line="240" w:lineRule="auto"/>
    </w:pPr>
    <w:rPr>
      <w:rFonts w:ascii="Calibri" w:hAnsi="Calibri" w:cstheme="minorBidi"/>
      <w:kern w:val="0"/>
      <w:sz w:val="22"/>
      <w:lang w:eastAsia="en-AU"/>
      <w14:ligatures w14:val="none"/>
    </w:rPr>
  </w:style>
  <w:style w:type="character" w:styleId="CommentReference">
    <w:name w:val="annotation reference"/>
    <w:basedOn w:val="DefaultParagraphFont"/>
    <w:uiPriority w:val="99"/>
    <w:semiHidden/>
    <w:unhideWhenUsed/>
    <w:rsid w:val="008B1B3D"/>
    <w:rPr>
      <w:sz w:val="16"/>
      <w:szCs w:val="16"/>
    </w:rPr>
  </w:style>
  <w:style w:type="paragraph" w:styleId="CommentText">
    <w:name w:val="annotation text"/>
    <w:basedOn w:val="Normal"/>
    <w:link w:val="CommentTextChar"/>
    <w:uiPriority w:val="99"/>
    <w:unhideWhenUsed/>
    <w:rsid w:val="008B1B3D"/>
    <w:rPr>
      <w:sz w:val="20"/>
      <w:szCs w:val="20"/>
    </w:rPr>
  </w:style>
  <w:style w:type="character" w:customStyle="1" w:styleId="CommentTextChar">
    <w:name w:val="Comment Text Char"/>
    <w:basedOn w:val="DefaultParagraphFont"/>
    <w:link w:val="CommentText"/>
    <w:uiPriority w:val="99"/>
    <w:rsid w:val="008B1B3D"/>
    <w:rPr>
      <w:rFonts w:ascii="Calibri" w:hAnsi="Calibri" w:cstheme="minorBidi"/>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8B1B3D"/>
    <w:rPr>
      <w:b/>
      <w:bCs/>
    </w:rPr>
  </w:style>
  <w:style w:type="character" w:customStyle="1" w:styleId="CommentSubjectChar">
    <w:name w:val="Comment Subject Char"/>
    <w:basedOn w:val="CommentTextChar"/>
    <w:link w:val="CommentSubject"/>
    <w:uiPriority w:val="99"/>
    <w:semiHidden/>
    <w:rsid w:val="008B1B3D"/>
    <w:rPr>
      <w:rFonts w:ascii="Calibri" w:hAnsi="Calibri" w:cstheme="minorBidi"/>
      <w:b/>
      <w:bCs/>
      <w:kern w:val="0"/>
      <w:sz w:val="20"/>
      <w:szCs w:val="20"/>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ga.gov.au/publication/note-guidance-good-clinical-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mrc.gov.au/about-us/publications/national-statement-ethical-conduct-human-research-2007-updated-20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210 - Summary of Risk Assessment and Risk Management Plan</dc:title>
  <dc:subject/>
  <dc:creator>OGTR.Voicemail@health.gov.au</dc:creator>
  <cp:keywords/>
  <dc:description/>
  <cp:lastModifiedBy>SMITH, Justine</cp:lastModifiedBy>
  <cp:revision>2</cp:revision>
  <dcterms:created xsi:type="dcterms:W3CDTF">2025-04-02T22:28:00Z</dcterms:created>
  <dcterms:modified xsi:type="dcterms:W3CDTF">2025-04-02T22:28:00Z</dcterms:modified>
</cp:coreProperties>
</file>